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宋体" w:hAnsi="宋体" w:eastAsia="宋体" w:cs="宋体"/>
          <w:b/>
          <w:bCs/>
          <w:sz w:val="36"/>
          <w:szCs w:val="36"/>
          <w:highlight w:val="none"/>
          <w:lang w:val="en-US" w:eastAsia="zh-CN"/>
        </w:rPr>
      </w:pPr>
      <w:r>
        <w:rPr>
          <w:rFonts w:hint="eastAsia" w:ascii="宋体" w:hAnsi="宋体" w:cs="宋体"/>
          <w:b/>
          <w:bCs/>
          <w:sz w:val="36"/>
          <w:szCs w:val="36"/>
          <w:highlight w:val="none"/>
          <w:lang w:val="en-US" w:eastAsia="zh-CN"/>
        </w:rPr>
        <w:t>附件：</w:t>
      </w:r>
      <w:bookmarkStart w:id="0" w:name="_GoBack"/>
      <w:bookmarkEnd w:id="0"/>
    </w:p>
    <w:p>
      <w:pPr>
        <w:spacing w:line="440" w:lineRule="exact"/>
        <w:jc w:val="center"/>
        <w:rPr>
          <w:rFonts w:hint="eastAsia" w:ascii="宋体" w:hAnsi="宋体" w:cs="宋体"/>
          <w:b/>
          <w:bCs/>
          <w:sz w:val="36"/>
          <w:szCs w:val="36"/>
          <w:highlight w:val="none"/>
        </w:rPr>
      </w:pPr>
      <w:r>
        <w:rPr>
          <w:rFonts w:hint="eastAsia" w:ascii="宋体" w:hAnsi="宋体" w:cs="宋体"/>
          <w:b/>
          <w:bCs/>
          <w:sz w:val="36"/>
          <w:szCs w:val="36"/>
          <w:highlight w:val="none"/>
        </w:rPr>
        <w:t>服务需求</w:t>
      </w:r>
    </w:p>
    <w:p>
      <w:pPr>
        <w:tabs>
          <w:tab w:val="left" w:pos="0"/>
        </w:tabs>
        <w:spacing w:line="440" w:lineRule="exact"/>
        <w:ind w:left="420" w:leftChars="200" w:firstLine="0" w:firstLineChars="0"/>
        <w:rPr>
          <w:rFonts w:hint="eastAsia" w:ascii="宋体" w:hAnsi="宋体" w:eastAsia="宋体" w:cs="宋体"/>
          <w:b/>
          <w:bCs/>
          <w:kern w:val="0"/>
          <w:szCs w:val="21"/>
          <w:highlight w:val="none"/>
          <w:lang w:val="en-US" w:eastAsia="zh-CN"/>
        </w:rPr>
      </w:pPr>
      <w:r>
        <w:rPr>
          <w:rFonts w:hint="eastAsia" w:ascii="宋体" w:hAnsi="宋体" w:cs="宋体"/>
          <w:b/>
          <w:bCs/>
          <w:kern w:val="0"/>
          <w:szCs w:val="21"/>
          <w:highlight w:val="none"/>
          <w:lang w:val="en-US" w:eastAsia="zh-CN"/>
        </w:rPr>
        <w:t>1.</w:t>
      </w:r>
      <w:r>
        <w:rPr>
          <w:rFonts w:hint="eastAsia" w:ascii="宋体" w:hAnsi="宋体" w:eastAsia="宋体" w:cs="宋体"/>
          <w:b/>
          <w:bCs/>
          <w:kern w:val="0"/>
          <w:szCs w:val="21"/>
          <w:highlight w:val="none"/>
          <w:lang w:val="en-US" w:eastAsia="zh-CN"/>
        </w:rPr>
        <w:t>定级备案</w:t>
      </w:r>
    </w:p>
    <w:p>
      <w:pPr>
        <w:tabs>
          <w:tab w:val="left" w:pos="0"/>
        </w:tabs>
        <w:spacing w:line="440" w:lineRule="exact"/>
        <w:ind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协助采购人信息系统在网安部门完成定级备案工作，交付定级报告、专家评审意见表和备案表等内容，并取得相应系统的备案证明。</w:t>
      </w:r>
    </w:p>
    <w:p>
      <w:pPr>
        <w:numPr>
          <w:ilvl w:val="0"/>
          <w:numId w:val="0"/>
        </w:numPr>
        <w:tabs>
          <w:tab w:val="left" w:pos="0"/>
        </w:tabs>
        <w:spacing w:line="440" w:lineRule="exact"/>
        <w:ind w:leftChars="200"/>
        <w:rPr>
          <w:rFonts w:hint="eastAsia" w:ascii="宋体" w:hAnsi="宋体" w:eastAsia="宋体" w:cs="宋体"/>
          <w:b/>
          <w:bCs/>
          <w:kern w:val="0"/>
          <w:szCs w:val="21"/>
          <w:highlight w:val="none"/>
          <w:lang w:val="en-US" w:eastAsia="zh-CN"/>
        </w:rPr>
      </w:pPr>
      <w:r>
        <w:rPr>
          <w:rFonts w:hint="eastAsia" w:ascii="宋体" w:hAnsi="宋体" w:eastAsia="宋体" w:cs="宋体"/>
          <w:b/>
          <w:bCs/>
          <w:kern w:val="0"/>
          <w:szCs w:val="21"/>
          <w:highlight w:val="none"/>
          <w:lang w:val="en-US" w:eastAsia="zh-CN"/>
        </w:rPr>
        <w:t>2.等级保护测评</w:t>
      </w:r>
    </w:p>
    <w:p>
      <w:pPr>
        <w:numPr>
          <w:ilvl w:val="0"/>
          <w:numId w:val="0"/>
        </w:numPr>
        <w:tabs>
          <w:tab w:val="left" w:pos="0"/>
        </w:tabs>
        <w:spacing w:line="440" w:lineRule="exact"/>
        <w:ind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依据国家等级保护相关标准《GB/T 22239-2008 信息系统安全等级保护基本要求》、《GB/T 28448-2008 信息系统安全等级保护测评要求》、《GB/T 22239-2019 网络安全等级保护基本要求》、《GB/T 28448-2019 网络安全等级保护测评要求》，以《GB/T 22240 信息系统安全等级保护定级指南》、《GB/T 28449-2018 信息安全技术 网络安全等级保护测评过程指南》为基础，结合ISO/IEC 27001、ISO/IEC 20000、ISO 22301、ITIL和ITSS等行业最佳实践对信息系统开展等级保护二级测评，内容包括：</w:t>
      </w:r>
    </w:p>
    <w:p>
      <w:pPr>
        <w:tabs>
          <w:tab w:val="left" w:pos="0"/>
        </w:tabs>
        <w:spacing w:line="440" w:lineRule="exact"/>
        <w:ind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2.1安全技术测评：包括安全物理环境、安全通信网络、安全区域边界、安全计算环境、安全管理中心等五个方面的安全测评；</w:t>
      </w:r>
    </w:p>
    <w:p>
      <w:pPr>
        <w:tabs>
          <w:tab w:val="left" w:pos="0"/>
        </w:tabs>
        <w:spacing w:line="440" w:lineRule="exact"/>
        <w:ind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2.2安全管理测评：包括安全管理制度、安全管理机构、安全管理人员、安全建设管理、安全运维管理等五个方面的安全测评；</w:t>
      </w:r>
    </w:p>
    <w:p>
      <w:pPr>
        <w:tabs>
          <w:tab w:val="left" w:pos="0"/>
        </w:tabs>
        <w:spacing w:line="440" w:lineRule="exact"/>
        <w:ind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2.3工具测试：针对上述信息系统进行漏洞扫描、渗透测试等安全服务工作；</w:t>
      </w:r>
    </w:p>
    <w:p>
      <w:pPr>
        <w:tabs>
          <w:tab w:val="left" w:pos="0"/>
        </w:tabs>
        <w:spacing w:line="440" w:lineRule="exact"/>
        <w:ind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2.4整改建议：根据现场测评中发现的问题，分析与等级保护基本要求、ISO/IEC 27001、ISO/IEC 20000、ISO 22301、ITIL和ITSS等行业最佳实践之间的差距，按照信息安全等级保护标准要求提出安全整改报告；</w:t>
      </w:r>
    </w:p>
    <w:p>
      <w:pPr>
        <w:tabs>
          <w:tab w:val="left" w:pos="0"/>
        </w:tabs>
        <w:spacing w:line="440" w:lineRule="exact"/>
        <w:ind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2.5编制测评报告：完成上述测评工作和整改实施后，</w:t>
      </w:r>
      <w:r>
        <w:rPr>
          <w:rFonts w:hint="eastAsia" w:ascii="宋体" w:hAnsi="宋体"/>
          <w:szCs w:val="21"/>
          <w:highlight w:val="none"/>
        </w:rPr>
        <w:t>确保</w:t>
      </w:r>
      <w:r>
        <w:rPr>
          <w:rFonts w:hint="eastAsia" w:ascii="宋体" w:hAnsi="宋体"/>
          <w:szCs w:val="21"/>
          <w:highlight w:val="none"/>
          <w:lang w:val="en-US" w:eastAsia="zh-CN"/>
        </w:rPr>
        <w:t>采购</w:t>
      </w:r>
      <w:r>
        <w:rPr>
          <w:rFonts w:hint="eastAsia" w:ascii="宋体" w:hAnsi="宋体"/>
          <w:szCs w:val="21"/>
          <w:highlight w:val="none"/>
        </w:rPr>
        <w:t>人等级保护达到二级水平，</w:t>
      </w:r>
      <w:r>
        <w:rPr>
          <w:rFonts w:hint="eastAsia" w:ascii="宋体" w:hAnsi="宋体" w:eastAsia="宋体" w:cs="宋体"/>
          <w:kern w:val="0"/>
          <w:szCs w:val="21"/>
          <w:highlight w:val="none"/>
          <w:lang w:val="en-US" w:eastAsia="zh-CN"/>
        </w:rPr>
        <w:t>最后出具符合公安机关要求的信息系统网络安全等级保护测评报告。</w:t>
      </w:r>
    </w:p>
    <w:p>
      <w:pPr>
        <w:spacing w:line="440" w:lineRule="exact"/>
        <w:ind w:firstLine="422" w:firstLineChars="200"/>
        <w:rPr>
          <w:rFonts w:hint="eastAsia" w:ascii="宋体" w:hAnsi="宋体" w:cs="宋体"/>
          <w:b/>
          <w:bCs/>
          <w:kern w:val="0"/>
          <w:szCs w:val="21"/>
          <w:highlight w:val="none"/>
          <w:lang w:val="en-US" w:eastAsia="zh-CN"/>
        </w:rPr>
      </w:pPr>
      <w:r>
        <w:rPr>
          <w:rFonts w:hint="eastAsia" w:ascii="宋体" w:hAnsi="宋体" w:cs="宋体"/>
          <w:b/>
          <w:bCs/>
          <w:kern w:val="0"/>
          <w:szCs w:val="21"/>
          <w:highlight w:val="none"/>
          <w:lang w:val="en-US" w:eastAsia="zh-CN"/>
        </w:rPr>
        <w:t>3.实施原则：</w:t>
      </w:r>
    </w:p>
    <w:p>
      <w:pPr>
        <w:tabs>
          <w:tab w:val="left" w:pos="0"/>
        </w:tabs>
        <w:spacing w:line="440" w:lineRule="exact"/>
        <w:ind w:firstLine="420" w:firstLineChars="200"/>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3.1保密原则：对测评的过程数据和结果数据严格保密，未经授权不得泄露给任何单位和个人，不得利用此数据进行任何侵害招标人的行为，否则采购人有权追究中标人的责任。</w:t>
      </w:r>
    </w:p>
    <w:p>
      <w:pPr>
        <w:tabs>
          <w:tab w:val="left" w:pos="0"/>
        </w:tabs>
        <w:spacing w:line="440" w:lineRule="exact"/>
        <w:ind w:left="420" w:leftChars="200" w:firstLine="0" w:firstLineChars="0"/>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3.2标准性原则：测评方案的设计与实施应依据国家等级保护的相关标准进行。</w:t>
      </w:r>
    </w:p>
    <w:p>
      <w:pPr>
        <w:tabs>
          <w:tab w:val="left" w:pos="0"/>
        </w:tabs>
        <w:spacing w:line="440" w:lineRule="exact"/>
        <w:ind w:firstLine="420" w:firstLineChars="200"/>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3.3规范性原则：成交人工作中的过程和文档，具有很好的规范性，可以便于项目的跟踪和控制。</w:t>
      </w:r>
    </w:p>
    <w:p>
      <w:pPr>
        <w:tabs>
          <w:tab w:val="left" w:pos="0"/>
        </w:tabs>
        <w:spacing w:line="440" w:lineRule="exact"/>
        <w:ind w:firstLine="420" w:firstLineChars="200"/>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3.4可控性原则：测评服务的进度要跟上进度表的安排，保证采购人对于测评工作的可控性。</w:t>
      </w:r>
    </w:p>
    <w:p>
      <w:pPr>
        <w:tabs>
          <w:tab w:val="left" w:pos="0"/>
        </w:tabs>
        <w:spacing w:line="440" w:lineRule="exact"/>
        <w:ind w:firstLine="420" w:firstLineChars="200"/>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3.5整体性原则：测评的范围和内容应当整体全面，包括国家等级保护相关要求涉及的各个层面。</w:t>
      </w:r>
    </w:p>
    <w:p>
      <w:pPr>
        <w:tabs>
          <w:tab w:val="left" w:pos="0"/>
        </w:tabs>
        <w:spacing w:line="440" w:lineRule="exact"/>
        <w:ind w:firstLine="420" w:firstLineChars="200"/>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3.6最小影响原则：测评工作应尽可能小的影响系统和网络，并在可控范围内，测评工作不能对现有信息系统的正常运行、业务的正常开展产生任何影响。</w:t>
      </w:r>
    </w:p>
    <w:p>
      <w:pPr>
        <w:tabs>
          <w:tab w:val="left" w:pos="0"/>
        </w:tabs>
        <w:spacing w:line="440" w:lineRule="exact"/>
        <w:ind w:firstLine="420" w:firstLineChars="200"/>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成交人应严格依照上述原则和国家等级保护相关标准开展项目实施工作。</w:t>
      </w:r>
    </w:p>
    <w:p>
      <w:pPr>
        <w:tabs>
          <w:tab w:val="left" w:pos="0"/>
        </w:tabs>
        <w:spacing w:line="440" w:lineRule="exact"/>
        <w:ind w:firstLine="420" w:firstLineChars="200"/>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4.项目验收</w:t>
      </w:r>
    </w:p>
    <w:p>
      <w:pPr>
        <w:tabs>
          <w:tab w:val="left" w:pos="0"/>
        </w:tabs>
        <w:spacing w:line="440" w:lineRule="exact"/>
        <w:ind w:firstLine="420" w:firstLineChars="200"/>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4.1提交《信息系统等级保护整改建议》，对本次测评系统不符合信息安全等级保护有关管理规范和技术标准的，成交人出具行之有效的整改方案并协助采购人进行整改，并完成整改项的再次测评服务。</w:t>
      </w:r>
    </w:p>
    <w:p>
      <w:pPr>
        <w:tabs>
          <w:tab w:val="left" w:pos="0"/>
        </w:tabs>
        <w:spacing w:line="440" w:lineRule="exact"/>
        <w:ind w:firstLine="420" w:firstLineChars="200"/>
        <w:rPr>
          <w:rFonts w:hint="eastAsia" w:ascii="宋体" w:hAnsi="宋体"/>
          <w:szCs w:val="21"/>
          <w:highlight w:val="none"/>
          <w:lang w:val="en-US" w:eastAsia="zh-CN"/>
        </w:rPr>
      </w:pPr>
      <w:r>
        <w:rPr>
          <w:rFonts w:hint="eastAsia" w:ascii="宋体" w:hAnsi="宋体" w:cs="宋体"/>
          <w:kern w:val="0"/>
          <w:szCs w:val="21"/>
          <w:highlight w:val="none"/>
          <w:lang w:val="en-US" w:eastAsia="zh-CN"/>
        </w:rPr>
        <w:t>4.2提交《信息系统等级保护测评报告》，成交人协助采购人办理信息系统安全保护等级备案手续，并取得备案证书。该项目过程中产生的文档，归采购人所有。</w:t>
      </w:r>
      <w:r>
        <w:rPr>
          <w:rFonts w:hint="eastAsia" w:ascii="宋体" w:hAnsi="宋体"/>
          <w:szCs w:val="21"/>
          <w:highlight w:val="none"/>
          <w:lang w:val="en-US" w:eastAsia="zh-CN"/>
        </w:rPr>
        <w:br w:type="textWrapping"/>
      </w:r>
      <w:r>
        <w:rPr>
          <w:rFonts w:hint="eastAsia" w:ascii="宋体" w:hAnsi="宋体"/>
          <w:szCs w:val="21"/>
          <w:highlight w:val="none"/>
          <w:lang w:val="en-US" w:eastAsia="zh-CN"/>
        </w:rPr>
        <w:t xml:space="preserve">    </w:t>
      </w:r>
      <w:r>
        <w:rPr>
          <w:rFonts w:hint="eastAsia" w:ascii="宋体" w:hAnsi="宋体"/>
          <w:b/>
          <w:bCs/>
          <w:szCs w:val="21"/>
          <w:highlight w:val="none"/>
          <w:lang w:val="en-US" w:eastAsia="zh-CN"/>
        </w:rPr>
        <w:t>5.报价要求：</w:t>
      </w:r>
    </w:p>
    <w:p>
      <w:pPr>
        <w:numPr>
          <w:ilvl w:val="0"/>
          <w:numId w:val="0"/>
        </w:numPr>
        <w:tabs>
          <w:tab w:val="left" w:pos="0"/>
        </w:tabs>
        <w:spacing w:line="440" w:lineRule="exact"/>
        <w:ind w:firstLine="420" w:firstLineChars="200"/>
        <w:rPr>
          <w:rFonts w:hint="default" w:ascii="宋体" w:hAnsi="宋体" w:eastAsia="宋体" w:cs="宋体"/>
          <w:b/>
          <w:bCs/>
          <w:szCs w:val="21"/>
          <w:highlight w:val="none"/>
          <w:lang w:val="en-US" w:eastAsia="zh-CN"/>
        </w:rPr>
      </w:pPr>
      <w:r>
        <w:rPr>
          <w:rFonts w:hint="eastAsia" w:ascii="宋体" w:hAnsi="宋体"/>
          <w:szCs w:val="21"/>
          <w:highlight w:val="none"/>
          <w:lang w:val="en-US" w:eastAsia="zh-CN"/>
        </w:rPr>
        <w:t>本项目按总价报价，其报价应包含为完成本项目所需的人工、物耗、设备、交通、保险、税费等可能发生的一切相关费用。一旦中标，其中标价不做任何调整。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00F31F0D"/>
    <w:rsid w:val="00F3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next w:val="1"/>
    <w:qFormat/>
    <w:uiPriority w:val="0"/>
    <w:pPr>
      <w:spacing w:line="580" w:lineRule="exact"/>
      <w:ind w:right="-197" w:firstLine="560" w:firstLineChars="200"/>
    </w:pPr>
    <w:rPr>
      <w:rFonts w:hint="eastAsia"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2022-11-08T09:06:00Z</dcterms:created>
  <dc:creator>lenovo</dc:creator>
  <cp:lastModifiedBy>lenovo</cp:lastModifiedBy>
  <dcterms:modified xsi:type="dcterms:W3CDTF">2022-11-08T09:07:39Z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8D4F8C17AA1A4407A2D350B8E1B08DA8</vt:lpwstr>
  </property>
</Properties>
</file>