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ind w:left="420" w:left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采购需求：</w:t>
      </w:r>
    </w:p>
    <w:p>
      <w:pPr>
        <w:shd w:val="clear"/>
        <w:spacing w:line="440" w:lineRule="exact"/>
        <w:ind w:left="420" w:leftChars="200"/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1.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货物需求一览表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80"/>
        <w:gridCol w:w="853"/>
        <w:gridCol w:w="6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pc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3" w:type="pc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462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3501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93" w:type="pc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血小板恒温振荡保存箱</w:t>
            </w:r>
          </w:p>
        </w:tc>
        <w:tc>
          <w:tcPr>
            <w:tcW w:w="462" w:type="pct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3501" w:type="pc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★1.温控范围：22±1℃，控温精度0.1℃，保证箱体内各角落温度均匀恒定；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★2.振荡幅度：50mm±5mm；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★3.振荡频率：60次/分±5次/分；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★4.存放袋数：最低可存储36袋（单袋尺寸：200mm×170mm）；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5.存放层数：不少于9层，设置有抽屉式托盘，方便取放且不易滑落；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6.外形尺寸：宽×深×高≤650mm×800mm×1500mm;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7.玻璃门设计：便于观察箱内情况，采用有效技术手段隔音、隔冷/热源；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8.冷凝水：采用有效技术手段防止箱内出现冷凝水，预防细菌滋生；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9.箱体材料：内部需使用不锈钢材料，防腐蚀，便于清洁和消毒，并配备LED照明灯和紫外线消毒灯；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★10.制冷方式：使用半导体控温技术或者使用R134a无氟环保制冷剂的压缩机制冷方式，风冷设计；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11.电机：品牌电机、高效节能环保、噪音低、可靠性高、使用寿命长；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★12.报警系统：当保存箱出现故障时，可发出声、光等提示双重报警，报警故障至少包括：高低温、断电、开门超时、传感器故障、停振等；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13.断电报警：配备免维护后备蓄电池，可在断电后报警并持续记录温度；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14.显示：配有7寸及以上高清液晶触摸屏，全中文操作界面，实时显示箱内温度，可显示温度动态曲线图；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15.配有锁定式万向脚轮和安全门锁；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16.数据存储：大容量数据存储（至少可存储温度数据10年），内置wifi和USB模块，可以通过网络和U盘下载温度、运行等数据，可通过手机等终端实时监测；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注：上述标★项为必须满足项，供应商须在响应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文件中提供技术参数的证明文件之一（医疗器械注册证、医疗器械注册登记表、第三方检测报告、产品技术白皮书、产品使用说明书）予以证明。</w:t>
            </w:r>
          </w:p>
        </w:tc>
      </w:tr>
    </w:tbl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质保期要求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响应人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zh-CN"/>
        </w:rPr>
        <w:t>提供原装全新设备。所投货物的质保期不低于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zh-CN"/>
        </w:rPr>
        <w:t>年；自验收合格后算起，质保期内非人为原因造成的零部件更换费用、人工费用等均由成交人承担（报价时须考虑此项费用）。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售后服务及维保要求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zh-CN"/>
        </w:rPr>
        <w:t>设备运行期间，如出现故障要求在2小时内响应，工程师于24小时内到达现场给出解决方案，若不能及时解决问题，提供备用机，质保期内每年免费提供4次维护保养；负责仪器设备的维修保养以及配套控制软件的更新与维护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接到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的技术服务请求时，需及时提供服务。由于处理故障不及时导致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业务无法正常开展，对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造成损失的，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需赔偿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的经济损失。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4.培训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应对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的相关人员进行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设备的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免费现场培训。培训内容包括基本操作、保养维修、常见故障及解决办法等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免费提供设备操作手册和维护保养手册。保证使用人员正常操作设备的各种功能。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 xml:space="preserve">    5.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验收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双方共同实施验收工作，结果和验收报告经双方确认后生效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eastAsia="zh-CN"/>
        </w:rPr>
        <w:t>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其他要求</w:t>
      </w:r>
    </w:p>
    <w:p>
      <w:pPr>
        <w:shd w:val="clear"/>
        <w:tabs>
          <w:tab w:val="left" w:pos="6122"/>
        </w:tabs>
        <w:spacing w:line="440" w:lineRule="exact"/>
        <w:ind w:firstLine="422" w:firstLineChars="200"/>
        <w:rPr>
          <w:rFonts w:hint="default" w:ascii="宋体" w:hAnsi="宋体" w:eastAsia="宋体" w:cs="宋体"/>
          <w:b/>
          <w:bCs w:val="0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highlight w:val="none"/>
          <w:lang w:val="en-US" w:eastAsia="zh-CN"/>
        </w:rPr>
        <w:t>6.1</w:t>
      </w:r>
      <w:r>
        <w:rPr>
          <w:rFonts w:hint="eastAsia" w:ascii="宋体" w:hAnsi="宋体" w:cs="宋体"/>
          <w:b/>
          <w:bCs w:val="0"/>
          <w:color w:val="000000"/>
          <w:szCs w:val="21"/>
          <w:highlight w:val="none"/>
          <w:lang w:val="en-US" w:eastAsia="zh-CN"/>
        </w:rPr>
        <w:t>响应人须在响应文件中提供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二类医疗器械注册证</w:t>
      </w:r>
      <w:r>
        <w:rPr>
          <w:rFonts w:hint="eastAsia" w:ascii="宋体" w:hAnsi="宋体" w:cs="宋体"/>
          <w:b/>
          <w:bCs w:val="0"/>
          <w:sz w:val="21"/>
          <w:szCs w:val="21"/>
          <w:highlight w:val="none"/>
          <w:lang w:val="en-US" w:eastAsia="zh-CN"/>
        </w:rPr>
        <w:t>复印件或影印件或扫描件，并加盖单位公章，未按要求提供的视为不响应比选文件要求。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6.2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所提供的产品须满足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需求。若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成交人成交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后提供的货物不能满足要求的需无条件更换，且价格不予调整。若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不予更换的，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有权取消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资格，且不予支付货款。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cs="宋体"/>
          <w:bCs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如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文件采购需求中未列入，但可以推断是整个项目安装和运行时不可缺少或必需的配套设备、材料和工作，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响应人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报价时需综合考虑，计入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报价中，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不再额外增加费用。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付款方式</w:t>
      </w:r>
    </w:p>
    <w:p>
      <w:pPr>
        <w:shd w:val="clear"/>
        <w:tabs>
          <w:tab w:val="left" w:pos="6122"/>
        </w:tabs>
        <w:spacing w:line="440" w:lineRule="exact"/>
        <w:ind w:firstLine="420" w:firstLine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21"/>
          <w:highlight w:val="none"/>
        </w:rPr>
        <w:t>设备到场经验收合格后支付合同价款的95%，余款待质保期结束后一次性付清。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3EB3372A"/>
    <w:rsid w:val="3EB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2024-03-20T03:59:00Z</dcterms:created>
  <dc:creator>占滦信秤丛</dc:creator>
  <cp:lastModifiedBy>占滦信秤丛</cp:lastModifiedBy>
  <dcterms:modified xsi:type="dcterms:W3CDTF">2024-03-20T04:03:47Z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1FDD10F3F42E445EA0EF5016ECD7186D_11</vt:lpwstr>
  </property>
</Properties>
</file>