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32"/>
        </w:tabs>
        <w:spacing w:line="360" w:lineRule="auto"/>
        <w:jc w:val="center"/>
        <w:rPr>
          <w:rFonts w:hint="default" w:asciiTheme="minorEastAsia" w:hAnsiTheme="minorEastAsia" w:eastAsiaTheme="minorEastAsia" w:cstheme="minorEastAsia"/>
          <w:b/>
          <w:sz w:val="32"/>
          <w:szCs w:val="32"/>
          <w:lang w:val="en-US" w:eastAsia="zh-CN"/>
        </w:rPr>
      </w:pPr>
      <w:bookmarkStart w:id="0" w:name="_Hlk157430153"/>
      <w:r>
        <w:rPr>
          <w:rFonts w:hint="eastAsia" w:asciiTheme="minorEastAsia" w:hAnsiTheme="minorEastAsia" w:eastAsiaTheme="minorEastAsia" w:cstheme="minorEastAsia"/>
          <w:b/>
          <w:sz w:val="32"/>
          <w:szCs w:val="32"/>
          <w:lang w:val="en-US" w:eastAsia="zh-CN"/>
        </w:rPr>
        <w:t>项目需求</w:t>
      </w:r>
    </w:p>
    <w:p>
      <w:pPr>
        <w:keepNext w:val="0"/>
        <w:keepLines w:val="0"/>
        <w:pageBreakBefore w:val="0"/>
        <w:kinsoku/>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sz w:val="21"/>
          <w:szCs w:val="21"/>
          <w:highlight w:val="none"/>
          <w:lang w:val="en-US" w:eastAsia="zh-CN"/>
        </w:rPr>
      </w:pPr>
      <w:bookmarkStart w:id="3" w:name="_GoBack"/>
      <w:bookmarkEnd w:id="3"/>
      <w:r>
        <w:rPr>
          <w:rFonts w:hint="eastAsia" w:asciiTheme="minorEastAsia" w:hAnsiTheme="minorEastAsia" w:eastAsiaTheme="minorEastAsia" w:cstheme="minorEastAsia"/>
          <w:b/>
          <w:sz w:val="21"/>
          <w:szCs w:val="21"/>
          <w:highlight w:val="none"/>
          <w:lang w:val="en-US" w:eastAsia="zh-CN"/>
        </w:rPr>
        <w:t>1.服务内容</w:t>
      </w:r>
    </w:p>
    <w:bookmarkEnd w:id="0"/>
    <w:p>
      <w:pPr>
        <w:pStyle w:val="5"/>
        <w:keepNext w:val="0"/>
        <w:keepLines w:val="0"/>
        <w:pageBreakBefore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bookmarkStart w:id="1" w:name="_Hlk157429993"/>
      <w:r>
        <w:rPr>
          <w:rFonts w:hint="eastAsia" w:asciiTheme="minorEastAsia" w:hAnsiTheme="minorEastAsia" w:eastAsiaTheme="minorEastAsia" w:cstheme="minorEastAsia"/>
          <w:kern w:val="2"/>
          <w:sz w:val="21"/>
          <w:szCs w:val="21"/>
          <w:highlight w:val="none"/>
          <w:lang w:val="en-US" w:eastAsia="zh-CN" w:bidi="ar-SA"/>
        </w:rPr>
        <w:t>本维保服务涉及的设备主要为开展罗氏核酸检测成套系统中所涉及的各类必须的硬件设备和软件系统，不少于下表所列设备。</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941"/>
        <w:gridCol w:w="1253"/>
        <w:gridCol w:w="1646"/>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设备名称</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型号</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序列号</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设备用途概述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计算机1</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rp</w:t>
            </w:r>
            <w:r>
              <w:rPr>
                <w:rFonts w:hint="eastAsia" w:asciiTheme="minorEastAsia" w:hAnsiTheme="minorEastAsia" w:eastAsiaTheme="minorEastAsia" w:cstheme="minorEastAsia"/>
                <w:color w:val="auto"/>
                <w:sz w:val="21"/>
                <w:szCs w:val="21"/>
                <w:highlight w:val="none"/>
              </w:rPr>
              <w:t>5700</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CZC119</w:t>
            </w:r>
            <w:r>
              <w:rPr>
                <w:rFonts w:hint="eastAsia" w:asciiTheme="minorEastAsia" w:hAnsiTheme="minorEastAsia" w:eastAsiaTheme="minorEastAsia" w:cstheme="minorEastAsia"/>
                <w:color w:val="auto"/>
                <w:sz w:val="21"/>
                <w:szCs w:val="21"/>
                <w:highlight w:val="none"/>
                <w:lang w:val="en-US" w:eastAsia="zh-CN"/>
              </w:rPr>
              <w:t>6JZY</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结果汇总与发布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计算机2</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rp</w:t>
            </w:r>
            <w:r>
              <w:rPr>
                <w:rFonts w:hint="eastAsia" w:asciiTheme="minorEastAsia" w:hAnsiTheme="minorEastAsia" w:eastAsiaTheme="minorEastAsia" w:cstheme="minorEastAsia"/>
                <w:color w:val="auto"/>
                <w:sz w:val="21"/>
                <w:szCs w:val="21"/>
                <w:highlight w:val="none"/>
              </w:rPr>
              <w:t>5700</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CZC119</w:t>
            </w:r>
            <w:r>
              <w:rPr>
                <w:rFonts w:hint="eastAsia" w:asciiTheme="minorEastAsia" w:hAnsiTheme="minorEastAsia" w:eastAsiaTheme="minorEastAsia" w:cstheme="minorEastAsia"/>
                <w:color w:val="auto"/>
                <w:sz w:val="21"/>
                <w:szCs w:val="21"/>
                <w:highlight w:val="none"/>
                <w:lang w:val="en-US" w:eastAsia="zh-CN"/>
              </w:rPr>
              <w:t>6JZR</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控制STAR加样仪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计算机3</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rp</w:t>
            </w:r>
            <w:r>
              <w:rPr>
                <w:rFonts w:hint="eastAsia" w:asciiTheme="minorEastAsia" w:hAnsiTheme="minorEastAsia" w:eastAsiaTheme="minorEastAsia" w:cstheme="minorEastAsia"/>
                <w:color w:val="auto"/>
                <w:sz w:val="21"/>
                <w:szCs w:val="21"/>
                <w:highlight w:val="none"/>
              </w:rPr>
              <w:t>5700</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CZC120</w:t>
            </w:r>
            <w:r>
              <w:rPr>
                <w:rFonts w:hint="eastAsia" w:asciiTheme="minorEastAsia" w:hAnsiTheme="minorEastAsia" w:eastAsiaTheme="minorEastAsia" w:cstheme="minorEastAsia"/>
                <w:color w:val="auto"/>
                <w:sz w:val="21"/>
                <w:szCs w:val="21"/>
                <w:highlight w:val="none"/>
                <w:lang w:val="en-US" w:eastAsia="zh-CN"/>
              </w:rPr>
              <w:t>4C44</w:t>
            </w:r>
          </w:p>
        </w:tc>
        <w:tc>
          <w:tcPr>
            <w:tcW w:w="1722" w:type="pct"/>
            <w:noWrap w:val="0"/>
            <w:vAlign w:val="center"/>
          </w:tcPr>
          <w:p>
            <w:pPr>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控制COBAS AmpliPrep、COBAS Taqman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STAR加样仪</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MICROLAB</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8274</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混样与加样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COBAS AmpliPrep</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S201</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3957</w:t>
            </w:r>
            <w:r>
              <w:rPr>
                <w:rFonts w:hint="eastAsia" w:asciiTheme="minorEastAsia" w:hAnsiTheme="minorEastAsia" w:eastAsiaTheme="minorEastAsia" w:cstheme="minorEastAsia"/>
                <w:color w:val="auto"/>
                <w:sz w:val="21"/>
                <w:szCs w:val="21"/>
                <w:highlight w:val="none"/>
                <w:lang w:val="en-US" w:eastAsia="zh-CN"/>
              </w:rPr>
              <w:t>95</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核酸提取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COBAS Taqman</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S201</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393</w:t>
            </w:r>
            <w:r>
              <w:rPr>
                <w:rFonts w:hint="eastAsia" w:asciiTheme="minorEastAsia" w:hAnsiTheme="minorEastAsia" w:eastAsiaTheme="minorEastAsia" w:cstheme="minorEastAsia"/>
                <w:color w:val="auto"/>
                <w:sz w:val="21"/>
                <w:szCs w:val="21"/>
                <w:highlight w:val="none"/>
                <w:lang w:val="en-US" w:eastAsia="zh-CN"/>
              </w:rPr>
              <w:t>460</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核酸扩增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罗氏服务器</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507</w:t>
            </w:r>
            <w:r>
              <w:rPr>
                <w:rFonts w:hint="eastAsia" w:asciiTheme="minorEastAsia" w:hAnsiTheme="minorEastAsia" w:eastAsiaTheme="minorEastAsia" w:cstheme="minorEastAsia"/>
                <w:color w:val="auto"/>
                <w:sz w:val="21"/>
                <w:szCs w:val="21"/>
                <w:highlight w:val="none"/>
                <w:lang w:val="en-US" w:eastAsia="zh-CN"/>
              </w:rPr>
              <w:t>85</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加样与检测数据集成与处理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3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139"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软件系统</w:t>
            </w:r>
          </w:p>
        </w:tc>
        <w:tc>
          <w:tcPr>
            <w:tcW w:w="735"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966"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722" w:type="pct"/>
            <w:noWrap w:val="0"/>
            <w:vAlign w:val="center"/>
          </w:tcPr>
          <w:p>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设备控制、数据加工处理等</w:t>
            </w:r>
          </w:p>
        </w:tc>
      </w:tr>
      <w:bookmarkEnd w:id="1"/>
    </w:tbl>
    <w:p>
      <w:pPr>
        <w:pStyle w:val="5"/>
        <w:keepNext w:val="0"/>
        <w:keepLines w:val="0"/>
        <w:pageBreakBefore w:val="0"/>
        <w:kinsoku/>
        <w:wordWrap/>
        <w:overflowPunct/>
        <w:topLinePunct w:val="0"/>
        <w:autoSpaceDE w:val="0"/>
        <w:autoSpaceDN w:val="0"/>
        <w:bidi w:val="0"/>
        <w:spacing w:after="0" w:line="360" w:lineRule="auto"/>
        <w:ind w:left="0" w:leftChars="0" w:firstLine="0" w:firstLineChars="0"/>
        <w:textAlignment w:val="auto"/>
        <w:rPr>
          <w:rFonts w:hint="eastAsia" w:asciiTheme="minorEastAsia" w:hAnsiTheme="minorEastAsia" w:eastAsiaTheme="minorEastAsia" w:cstheme="minorEastAsia"/>
          <w:b/>
          <w:bCs/>
          <w:kern w:val="2"/>
          <w:sz w:val="21"/>
          <w:szCs w:val="21"/>
          <w:highlight w:val="none"/>
          <w:lang w:val="en-US" w:eastAsia="zh-CN" w:bidi="ar-SA"/>
        </w:rPr>
      </w:pPr>
      <w:bookmarkStart w:id="2" w:name="_Hlk157430095"/>
    </w:p>
    <w:p>
      <w:pPr>
        <w:pStyle w:val="5"/>
        <w:keepNext w:val="0"/>
        <w:keepLines w:val="0"/>
        <w:pageBreakBefore w:val="0"/>
        <w:kinsoku/>
        <w:wordWrap/>
        <w:overflowPunct/>
        <w:topLinePunct w:val="0"/>
        <w:autoSpaceDE w:val="0"/>
        <w:autoSpaceDN w:val="0"/>
        <w:bidi w:val="0"/>
        <w:spacing w:after="0" w:line="360" w:lineRule="auto"/>
        <w:ind w:left="0" w:leftChars="0" w:firstLine="0" w:firstLineChars="0"/>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2.维保服务要求</w:t>
      </w:r>
    </w:p>
    <w:p>
      <w:pPr>
        <w:pStyle w:val="5"/>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（1）免费按照设备维护部件表中的内容进行定期保养，每年不少于2次。</w:t>
      </w:r>
    </w:p>
    <w:p>
      <w:pPr>
        <w:pStyle w:val="5"/>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（2）免费按照要求对设备进行校准（性能验证），并提供校准校验证书。每年不少于1次。</w:t>
      </w:r>
    </w:p>
    <w:p>
      <w:pPr>
        <w:pStyle w:val="5"/>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（3）维保协议期间，</w:t>
      </w:r>
      <w:r>
        <w:rPr>
          <w:rFonts w:hint="eastAsia" w:asciiTheme="minorEastAsia" w:hAnsiTheme="minorEastAsia" w:eastAsiaTheme="minorEastAsia" w:cstheme="minorEastAsia"/>
          <w:szCs w:val="21"/>
          <w:highlight w:val="none"/>
        </w:rPr>
        <w:t>非人为原因造成的零</w:t>
      </w:r>
      <w:r>
        <w:rPr>
          <w:rFonts w:hint="eastAsia" w:asciiTheme="minorEastAsia" w:hAnsiTheme="minorEastAsia" w:eastAsiaTheme="minorEastAsia" w:cstheme="minorEastAsia"/>
          <w:kern w:val="2"/>
          <w:sz w:val="21"/>
          <w:szCs w:val="21"/>
          <w:highlight w:val="none"/>
          <w:lang w:val="en-US" w:eastAsia="zh-CN" w:bidi="ar-SA"/>
        </w:rPr>
        <w:t>配件</w:t>
      </w:r>
      <w:r>
        <w:rPr>
          <w:rFonts w:hint="eastAsia" w:asciiTheme="minorEastAsia" w:hAnsiTheme="minorEastAsia" w:eastAsiaTheme="minorEastAsia" w:cstheme="minorEastAsia"/>
          <w:szCs w:val="21"/>
          <w:highlight w:val="none"/>
        </w:rPr>
        <w:t>更换费用、人工费用等均由成交人承担（报价时须考虑此项费用）。</w:t>
      </w:r>
      <w:r>
        <w:rPr>
          <w:rFonts w:hint="eastAsia" w:asciiTheme="minorEastAsia" w:hAnsiTheme="minorEastAsia" w:eastAsiaTheme="minorEastAsia" w:cstheme="minorEastAsia"/>
          <w:kern w:val="2"/>
          <w:sz w:val="21"/>
          <w:szCs w:val="21"/>
          <w:highlight w:val="none"/>
          <w:lang w:val="en-US" w:eastAsia="zh-CN" w:bidi="ar-SA"/>
        </w:rPr>
        <w:t>成交人免费和不限次数提供零配件进行更换和维修，设备所需的零配件必须是原厂（Roche公司）经测试合格的产品，并保证设备维修后的技术参数与原机数据相同。</w:t>
      </w:r>
    </w:p>
    <w:p>
      <w:pPr>
        <w:pStyle w:val="5"/>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（4）设备在维保服务执行期间，成交人必须免费为设备进行硬件和软件升级。</w:t>
      </w:r>
    </w:p>
    <w:p>
      <w:pPr>
        <w:pStyle w:val="5"/>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（5）成交人应向采购人提供全方位、及时而有效的技术支持和服务。成交人</w:t>
      </w:r>
      <w:r>
        <w:rPr>
          <w:rFonts w:hint="eastAsia" w:asciiTheme="minorEastAsia" w:hAnsiTheme="minorEastAsia" w:eastAsiaTheme="minorEastAsia" w:cstheme="minorEastAsia"/>
          <w:szCs w:val="21"/>
          <w:highlight w:val="none"/>
        </w:rPr>
        <w:t>应对采购人的相关人员进行免费培训</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highlight w:val="none"/>
        </w:rPr>
        <w:t>培训是指成交人为采购人免费提供设备的</w:t>
      </w:r>
      <w:r>
        <w:rPr>
          <w:rFonts w:hint="eastAsia" w:asciiTheme="minorEastAsia" w:hAnsiTheme="minorEastAsia" w:eastAsiaTheme="minorEastAsia" w:cstheme="minorEastAsia"/>
          <w:snapToGrid w:val="0"/>
          <w:szCs w:val="21"/>
          <w:highlight w:val="none"/>
        </w:rPr>
        <w:t>维护、管理、</w:t>
      </w:r>
      <w:r>
        <w:rPr>
          <w:rFonts w:hint="eastAsia" w:asciiTheme="minorEastAsia" w:hAnsiTheme="minorEastAsia" w:eastAsiaTheme="minorEastAsia" w:cstheme="minorEastAsia"/>
          <w:highlight w:val="none"/>
        </w:rPr>
        <w:t>调试和保养维修及故障排除等有关内容的培训，能对设备进行日常维护和一般性故障的查找及故障的排除。</w:t>
      </w:r>
    </w:p>
    <w:p>
      <w:pPr>
        <w:pStyle w:val="5"/>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（6）报修响应时间：7*24小时服务，1小时电话响应，24小时内工程师入场维修。</w:t>
      </w:r>
    </w:p>
    <w:p>
      <w:pPr>
        <w:keepNext w:val="0"/>
        <w:keepLines w:val="0"/>
        <w:pageBreakBefore w:val="0"/>
        <w:widowControl w:val="0"/>
        <w:kinsoku w:val="0"/>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3.服务期</w:t>
      </w:r>
    </w:p>
    <w:p>
      <w:pPr>
        <w:pStyle w:val="5"/>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rPr>
        <w:t>合同签订生效后，服务期一年</w:t>
      </w:r>
      <w:r>
        <w:rPr>
          <w:rFonts w:hint="eastAsia" w:asciiTheme="minorEastAsia" w:hAnsiTheme="minorEastAsia" w:eastAsiaTheme="minorEastAsia" w:cstheme="minorEastAsia"/>
          <w:kern w:val="0"/>
          <w:szCs w:val="21"/>
          <w:highlight w:val="none"/>
          <w:lang w:eastAsia="zh-CN"/>
        </w:rPr>
        <w:t>。</w:t>
      </w:r>
      <w:r>
        <w:rPr>
          <w:rFonts w:hint="eastAsia" w:asciiTheme="minorEastAsia" w:hAnsiTheme="minorEastAsia" w:eastAsiaTheme="minorEastAsia" w:cstheme="minorEastAsia"/>
          <w:kern w:val="0"/>
          <w:szCs w:val="21"/>
          <w:highlight w:val="none"/>
        </w:rPr>
        <w:t>为了保障服务的延续性，服务周期采取1+1+1模式，即服务1年期满后,需求无变化，并经采购人考核合格后可续签一年，最多续签两次。</w:t>
      </w:r>
    </w:p>
    <w:p>
      <w:pPr>
        <w:keepNext w:val="0"/>
        <w:keepLines w:val="0"/>
        <w:pageBreakBefore w:val="0"/>
        <w:widowControl w:val="0"/>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4.</w:t>
      </w:r>
      <w:r>
        <w:rPr>
          <w:rFonts w:hint="eastAsia" w:asciiTheme="minorEastAsia" w:hAnsiTheme="minorEastAsia" w:eastAsiaTheme="minorEastAsia" w:cstheme="minorEastAsia"/>
          <w:b/>
          <w:bCs/>
          <w:sz w:val="21"/>
          <w:szCs w:val="21"/>
          <w:highlight w:val="none"/>
        </w:rPr>
        <w:t>报价要求</w:t>
      </w:r>
    </w:p>
    <w:p>
      <w:pPr>
        <w:keepNext w:val="0"/>
        <w:keepLines w:val="0"/>
        <w:pageBreakBefore w:val="0"/>
        <w:widowControl w:val="0"/>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本项目按总价进行报价，其报价应包括但不限于</w:t>
      </w:r>
      <w:r>
        <w:rPr>
          <w:rFonts w:hint="eastAsia" w:asciiTheme="minorEastAsia" w:hAnsiTheme="minorEastAsia" w:eastAsiaTheme="minorEastAsia" w:cstheme="minorEastAsia"/>
          <w:sz w:val="21"/>
          <w:szCs w:val="21"/>
          <w:highlight w:val="none"/>
          <w:lang w:val="en-US" w:eastAsia="zh-CN"/>
        </w:rPr>
        <w:t>为</w:t>
      </w:r>
      <w:r>
        <w:rPr>
          <w:rFonts w:hint="eastAsia" w:asciiTheme="minorEastAsia" w:hAnsiTheme="minorEastAsia" w:eastAsiaTheme="minorEastAsia" w:cstheme="minorEastAsia"/>
          <w:sz w:val="21"/>
          <w:szCs w:val="21"/>
          <w:highlight w:val="none"/>
          <w:lang w:val="zh-CN"/>
        </w:rPr>
        <w:t>完成本项目所需的</w:t>
      </w:r>
      <w:r>
        <w:rPr>
          <w:rFonts w:hint="eastAsia" w:asciiTheme="minorEastAsia" w:hAnsiTheme="minorEastAsia" w:eastAsiaTheme="minorEastAsia" w:cstheme="minorEastAsia"/>
          <w:sz w:val="21"/>
          <w:szCs w:val="21"/>
          <w:highlight w:val="none"/>
        </w:rPr>
        <w:t>人工</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材料、机具用具</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保修保养、保险</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zh-CN"/>
        </w:rPr>
        <w:t>税费</w:t>
      </w:r>
      <w:r>
        <w:rPr>
          <w:rFonts w:hint="eastAsia" w:asciiTheme="minorEastAsia" w:hAnsiTheme="minorEastAsia" w:eastAsiaTheme="minorEastAsia" w:cstheme="minorEastAsia"/>
          <w:sz w:val="21"/>
          <w:szCs w:val="21"/>
          <w:highlight w:val="none"/>
        </w:rPr>
        <w:t>等</w:t>
      </w:r>
      <w:r>
        <w:rPr>
          <w:rFonts w:hint="eastAsia" w:asciiTheme="minorEastAsia" w:hAnsiTheme="minorEastAsia" w:eastAsiaTheme="minorEastAsia" w:cstheme="minorEastAsia"/>
          <w:sz w:val="21"/>
          <w:szCs w:val="21"/>
          <w:highlight w:val="none"/>
          <w:lang w:val="zh-CN"/>
        </w:rPr>
        <w:t>其他</w:t>
      </w:r>
      <w:r>
        <w:rPr>
          <w:rFonts w:hint="eastAsia" w:asciiTheme="minorEastAsia" w:hAnsiTheme="minorEastAsia" w:eastAsiaTheme="minorEastAsia" w:cstheme="minorEastAsia"/>
          <w:sz w:val="21"/>
          <w:szCs w:val="21"/>
          <w:highlight w:val="none"/>
        </w:rPr>
        <w:t>各项与之有关的所有费用。</w:t>
      </w:r>
    </w:p>
    <w:p>
      <w:pPr>
        <w:keepNext w:val="0"/>
        <w:keepLines w:val="0"/>
        <w:pageBreakBefore w:val="0"/>
        <w:widowControl w:val="0"/>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旦成交，经确认的总报价不随国家政策、法律法规、标准和市场因素、材料因素、履约期限等变化而进行调整。在本项目合同履行期间，采购人对因物价变动或其它因素而导致成交人投入本项目归档人员的数量及其它所有费用的增加不予调整，响应人进行报价时应综合考虑，理性报价。</w:t>
      </w:r>
    </w:p>
    <w:p>
      <w:pPr>
        <w:keepNext w:val="0"/>
        <w:keepLines w:val="0"/>
        <w:pageBreakBefore w:val="0"/>
        <w:widowControl w:val="0"/>
        <w:kinsoku w:val="0"/>
        <w:wordWrap/>
        <w:overflowPunct/>
        <w:topLinePunct w:val="0"/>
        <w:bidi w:val="0"/>
        <w:adjustRightInd/>
        <w:snapToGrid/>
        <w:spacing w:line="480" w:lineRule="exact"/>
        <w:jc w:val="lef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5.</w:t>
      </w:r>
      <w:r>
        <w:rPr>
          <w:rFonts w:hint="eastAsia" w:asciiTheme="minorEastAsia" w:hAnsiTheme="minorEastAsia" w:eastAsiaTheme="minorEastAsia" w:cstheme="minorEastAsia"/>
          <w:b/>
          <w:bCs/>
          <w:sz w:val="21"/>
          <w:szCs w:val="21"/>
          <w:highlight w:val="none"/>
        </w:rPr>
        <w:t>验收要求</w:t>
      </w:r>
    </w:p>
    <w:bookmarkEnd w:id="2"/>
    <w:p>
      <w:pPr>
        <w:pStyle w:val="5"/>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（1）有国家标准的执行国家标准；无国家标准的执行行业标准，无行业标准的执行企业标准。</w:t>
      </w:r>
    </w:p>
    <w:p>
      <w:pPr>
        <w:pStyle w:val="5"/>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（2）成交后在验收时，成交人需提供发票、产品合格证书、产品测试报告和各项测试数据等资料。</w:t>
      </w:r>
    </w:p>
    <w:p>
      <w:pPr>
        <w:pStyle w:val="5"/>
        <w:keepNext w:val="0"/>
        <w:keepLines w:val="0"/>
        <w:pageBreakBefore w:val="0"/>
        <w:widowControl w:val="0"/>
        <w:kinsoku/>
        <w:wordWrap/>
        <w:overflowPunct/>
        <w:topLinePunct w:val="0"/>
        <w:autoSpaceDE w:val="0"/>
        <w:autoSpaceDN w:val="0"/>
        <w:bidi w:val="0"/>
        <w:adjustRightInd/>
        <w:snapToGrid/>
        <w:spacing w:after="0" w:line="480" w:lineRule="exact"/>
        <w:ind w:left="0" w:leftChars="0" w:firstLine="420" w:firstLineChars="200"/>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2"/>
          <w:sz w:val="21"/>
          <w:szCs w:val="21"/>
          <w:highlight w:val="none"/>
          <w:lang w:val="en-US" w:eastAsia="zh-CN" w:bidi="ar-SA"/>
        </w:rPr>
        <w:t>（3）响应人提供的服务须满足技术参数、配置的要求。</w:t>
      </w:r>
    </w:p>
    <w:p>
      <w:pPr>
        <w:keepNext w:val="0"/>
        <w:keepLines w:val="0"/>
        <w:pageBreakBefore w:val="0"/>
        <w:widowControl w:val="0"/>
        <w:wordWrap/>
        <w:overflowPunct/>
        <w:topLinePunct w:val="0"/>
        <w:bidi w:val="0"/>
        <w:adjustRightInd/>
        <w:snapToGrid/>
        <w:spacing w:line="4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sz w:val="21"/>
          <w:szCs w:val="21"/>
          <w:highlight w:val="none"/>
        </w:rPr>
        <w:t>成交人和采购人双方依据项目内容和进度共同实施验收工作，验收结果和验收报告经双方确认后生效。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NjY5MThlMzUxOWUyM2JiYzJjNDRmZDM1NmI5ZDgifQ=="/>
  </w:docVars>
  <w:rsids>
    <w:rsidRoot w:val="40603F43"/>
    <w:rsid w:val="4060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line="360" w:lineRule="auto"/>
      <w:ind w:firstLine="480" w:firstLineChars="200"/>
    </w:pPr>
    <w:rPr>
      <w:rFonts w:ascii="Arial" w:hAnsi="Times New Roman"/>
      <w:sz w:val="24"/>
    </w:rPr>
  </w:style>
  <w:style w:type="paragraph" w:styleId="4">
    <w:name w:val="toc 2"/>
    <w:basedOn w:val="1"/>
    <w:next w:val="1"/>
    <w:qFormat/>
    <w:uiPriority w:val="39"/>
    <w:pPr>
      <w:spacing w:line="500" w:lineRule="exact"/>
      <w:ind w:left="200" w:leftChars="200"/>
    </w:pPr>
    <w:rPr>
      <w:rFonts w:ascii="Times New Roman" w:hAnsi="Times New Roman"/>
      <w:sz w:val="24"/>
    </w:rPr>
  </w:style>
  <w:style w:type="paragraph" w:styleId="5">
    <w:name w:val="Body Text First Indent 2"/>
    <w:basedOn w:val="3"/>
    <w:unhideWhenUsed/>
    <w:qFormat/>
    <w:uiPriority w:val="0"/>
    <w:pPr>
      <w:spacing w:after="120"/>
      <w:ind w:left="420" w:leftChars="200" w:firstLine="420"/>
    </w:pPr>
    <w:rPr>
      <w:rFonts w:cs="黑体"/>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2024-04-29T02:35:00Z</dcterms:created>
  <dc:creator>【东至碧桂园·嘉誉】吴月娇</dc:creator>
  <cp:lastModifiedBy>【东至碧桂园·嘉誉】吴月娇</cp:lastModifiedBy>
  <dcterms:modified xsi:type="dcterms:W3CDTF">2024-04-29T02:40:28Z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A5D4F5175EA144F7A0614A5BA4764E90_11</vt:lpwstr>
  </property>
</Properties>
</file>