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rPr>
          <w:rFonts w:hint="eastAsia" w:ascii="宋体"/>
          <w:b/>
          <w:bCs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bidi="ar"/>
        </w:rPr>
        <w:t>采</w:t>
      </w:r>
      <w:r>
        <w:rPr>
          <w:rFonts w:hint="eastAsia" w:ascii="宋体"/>
          <w:b/>
          <w:bCs/>
          <w:szCs w:val="21"/>
        </w:rPr>
        <w:t>购需求：</w:t>
      </w:r>
    </w:p>
    <w:p>
      <w:pPr>
        <w:spacing w:line="360" w:lineRule="auto"/>
        <w:ind w:firstLine="422" w:firstLineChars="200"/>
        <w:rPr>
          <w:rFonts w:hint="eastAsia"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>1、包一采购需求及技术参数要求：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14"/>
        <w:gridCol w:w="866"/>
        <w:gridCol w:w="5112"/>
        <w:gridCol w:w="455"/>
        <w:gridCol w:w="96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技术参数要求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年采购数量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一次性加样尖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1000ul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功能及技术要求                                 （1）材质：有机材料，含有碳元素，材质柔韧均一，内外壁光滑流畅；                              （2）规格：1000ul容积规格；                     （3）导电性：具有良好导电性，可利用其导电性完成液面探测功能；                                  （4)在正常的接触压力下，电阻＜200K欧姆；不同压力下，阻值变化＜20K欧姆；                     （5）可溯源性：每盒加样尖带有唯一独立的条形码，可对加样尖进行批号管理；                     （6）不同规格一次性吸头条形码对应不同颜色，方便操作人员识别；                                    （7）加样精度符合标准：使用1000ul加样尖准确度≤±2.0%；精密度CV%≤1.5%。                  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2、装载/卸载：                                  （1）加样枪可通过锁钥匹配原理对一次性加样尖进行柔性装载/卸载，能够有效消除装载/卸载过程的垂直撞击力；                                           （2）装载/卸载过程中不产生撞击噪音；              （3）装载/卸载过程中一次性加样尖不发生形变，无机械损伤。                                       3、质量保障                                    （1）生产要求：生产过程符合ISO9001:2008/ISO13485:2012标准；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（供应商需在响应文件中提供承诺函并加盖单位公章）</w:t>
            </w:r>
            <w:r>
              <w:rPr>
                <w:rFonts w:hint="eastAsia" w:ascii="宋体" w:hAnsi="宋体" w:cs="宋体"/>
                <w:szCs w:val="21"/>
              </w:rPr>
              <w:t xml:space="preserve">           （2）洁净度：在洁净车间中生产制造，洁净度≥8级，并通ISO14644-1；无DNA、无PCR抑制物、无DNA酶、无RNA酶、无ATP、无内毒素/致热源；每5×96个TIP独立密封包装，无接触风险。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69120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（原装）适用于ML-STAR（CH.8）酶免分析加样系统机型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3" w:type="dxa"/>
            <w:gridSpan w:val="7"/>
            <w:noWrap w:val="0"/>
            <w:vAlign w:val="center"/>
          </w:tcPr>
          <w:p>
            <w:pPr>
              <w:ind w:left="630" w:hanging="630" w:hangingChars="3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备注：1、供应商的响应文件必须标明所供货物的品牌与参数，保证原厂正品供货，提供相关资料等。      2、采购数量为暂定量，仅供供应商报价时参考。</w:t>
            </w:r>
          </w:p>
          <w:p>
            <w:pPr>
              <w:ind w:left="630" w:hanging="630" w:hanging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3、“技术参数”须全部满足，任一项不满足的视为不响应。</w:t>
            </w:r>
          </w:p>
        </w:tc>
      </w:tr>
    </w:tbl>
    <w:p>
      <w:pPr>
        <w:spacing w:line="360" w:lineRule="auto"/>
        <w:ind w:firstLine="422" w:firstLineChars="200"/>
        <w:rPr>
          <w:rFonts w:hint="eastAsia"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>2、包二采购需求及技术参数要求：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14"/>
        <w:gridCol w:w="866"/>
        <w:gridCol w:w="5112"/>
        <w:gridCol w:w="455"/>
        <w:gridCol w:w="98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技术参数要求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年采购数量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一次性加样尖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1000ul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1、产品规格为1000ul，透明的一次性吸头，洁净，便于在加样过程中人工观察监测；                  2、采用960支/条组合的独立密封包装，吸头盒装时，可一次性装载96支到针盒，无需一支支摆放到针盒；3、与全自动酶免仪的加样系统整合后加样精度能够达到：加样量1000μl，精密度（CV%）≤0.8%，准确度（%）≤±0.5%。</w:t>
            </w:r>
            <w:r>
              <w:rPr>
                <w:rFonts w:hint="eastAsia"/>
                <w:b/>
                <w:bCs/>
              </w:rPr>
              <w:t>（供应商需在</w:t>
            </w:r>
            <w:r>
              <w:rPr>
                <w:rFonts w:hint="eastAsia"/>
                <w:b/>
                <w:bCs/>
                <w:lang w:val="en-US" w:eastAsia="zh-CN"/>
              </w:rPr>
              <w:t>供货时</w:t>
            </w:r>
            <w:r>
              <w:rPr>
                <w:rFonts w:hint="eastAsia"/>
                <w:b/>
                <w:bCs/>
              </w:rPr>
              <w:t>提供吸头同全自动酶免仪配合使用后的加样精度检测报告</w:t>
            </w:r>
            <w:r>
              <w:rPr>
                <w:rFonts w:hint="eastAsia"/>
                <w:b/>
                <w:bCs/>
                <w:lang w:val="en-US" w:eastAsia="zh-CN"/>
              </w:rPr>
              <w:t>供采购人查验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</w:rPr>
              <w:t xml:space="preserve">                  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4、支持液面、凝块检测功能，与现有系统配套，系统能够通过吸头检测液面不足、凝块等问题。         5、尺寸：长度为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/>
              </w:rPr>
              <w:t>86.0mm，孔径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/>
              </w:rPr>
              <w:t>Φ0.76mm，壁厚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/>
              </w:rPr>
              <w:t>0.18mm，装载适配部分具备很好的弹性，保证吸头装载后有很好的气密性。                                  6、可在室温下长期储存（至少能保证24个月的储存期）。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74880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（原装）适用于爱康URANUS AE 全自动酶免分析加样系统机型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3" w:type="dxa"/>
            <w:gridSpan w:val="7"/>
            <w:noWrap w:val="0"/>
            <w:vAlign w:val="center"/>
          </w:tcPr>
          <w:p>
            <w:pPr>
              <w:ind w:left="630" w:hanging="630" w:hangingChars="3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备注：1、供应商的响应文件必须标明所供货物的品牌与参数，保证原厂正品供货，提供相关资料等。      2、采购数量为暂定量，仅供供应商报价时参考。</w:t>
            </w:r>
          </w:p>
          <w:p>
            <w:pPr>
              <w:ind w:left="630" w:hanging="630" w:hangingChars="3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3、“技术参数”须全部满足，任一项不满足的视为不响应。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E6B30"/>
    <w:multiLevelType w:val="singleLevel"/>
    <w:tmpl w:val="710E6B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435721C2"/>
    <w:rsid w:val="435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kern w:val="0"/>
      <w:szCs w:val="21"/>
    </w:rPr>
  </w:style>
  <w:style w:type="paragraph" w:styleId="3">
    <w:name w:val="toc 2"/>
    <w:basedOn w:val="1"/>
    <w:next w:val="1"/>
    <w:qFormat/>
    <w:uiPriority w:val="1"/>
    <w:pPr>
      <w:spacing w:before="241"/>
      <w:ind w:right="1414"/>
      <w:jc w:val="right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2024-06-06T00:57:00Z</dcterms:created>
  <dc:creator>8207429817</dc:creator>
  <cp:lastModifiedBy>8207429817</cp:lastModifiedBy>
  <dcterms:modified xsi:type="dcterms:W3CDTF">2024-06-06T00:58:22Z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E4332F75B38A4F0E99C2BD3FC25DEBB6_11</vt:lpwstr>
  </property>
</Properties>
</file>