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07356">
      <w:pPr>
        <w:widowControl/>
        <w:numPr>
          <w:numId w:val="0"/>
        </w:numPr>
        <w:jc w:val="center"/>
        <w:outlineLvl w:val="0"/>
        <w:rPr>
          <w:rFonts w:ascii="宋体" w:hAnsi="宋体" w:cs="宋体"/>
          <w:b/>
          <w:bCs/>
          <w:color w:val="auto"/>
          <w:kern w:val="0"/>
          <w:sz w:val="30"/>
          <w:szCs w:val="30"/>
          <w:highlight w:val="none"/>
          <w:lang w:bidi="ar"/>
        </w:rPr>
      </w:pPr>
      <w:bookmarkStart w:id="1" w:name="_GoBack"/>
      <w:bookmarkEnd w:id="1"/>
      <w:bookmarkStart w:id="0" w:name="_Toc7724"/>
      <w:r>
        <w:rPr>
          <w:rFonts w:hint="eastAsia" w:ascii="宋体" w:hAnsi="宋体" w:cs="宋体"/>
          <w:b/>
          <w:bCs/>
          <w:color w:val="auto"/>
          <w:kern w:val="0"/>
          <w:sz w:val="30"/>
          <w:szCs w:val="30"/>
          <w:highlight w:val="none"/>
          <w:lang w:bidi="ar"/>
        </w:rPr>
        <w:t>采购需求</w:t>
      </w:r>
      <w:bookmarkEnd w:id="0"/>
    </w:p>
    <w:p w14:paraId="361B7DFE">
      <w:pPr>
        <w:pStyle w:val="6"/>
        <w:spacing w:line="360" w:lineRule="auto"/>
        <w:ind w:firstLine="422" w:firstLineChars="200"/>
        <w:rPr>
          <w:rFonts w:hint="eastAsia" w:ascii="宋体" w:hAnsi="宋体" w:eastAsia="宋体" w:cs="宋体"/>
          <w:b/>
          <w:bCs/>
          <w:color w:val="auto"/>
          <w:sz w:val="21"/>
          <w:szCs w:val="16"/>
          <w:highlight w:val="none"/>
          <w:lang w:val="en-US" w:eastAsia="zh-CN"/>
        </w:rPr>
      </w:pPr>
      <w:r>
        <w:rPr>
          <w:rFonts w:hint="eastAsia" w:ascii="宋体" w:hAnsi="宋体" w:eastAsia="宋体" w:cs="宋体"/>
          <w:b/>
          <w:bCs/>
          <w:color w:val="auto"/>
          <w:sz w:val="21"/>
          <w:szCs w:val="16"/>
          <w:highlight w:val="none"/>
          <w:lang w:val="en-US" w:eastAsia="zh-CN"/>
        </w:rPr>
        <w:t>1.为鼓励不同品牌的充分竞争，如某货物的某技术参数或要求属于个别品牌专有，则该技术参数及要求不具有限制性，供应商可对该参数或要求进行适当调整，并应当说明调整的理由，且该调整须经评审小组审核认可。</w:t>
      </w:r>
      <w:r>
        <w:rPr>
          <w:rFonts w:hint="eastAsia" w:ascii="宋体" w:hAnsi="宋体" w:eastAsia="宋体" w:cs="宋体"/>
          <w:b/>
          <w:bCs/>
          <w:color w:val="auto"/>
          <w:sz w:val="21"/>
          <w:szCs w:val="16"/>
          <w:highlight w:val="none"/>
          <w:lang w:val="en-US" w:eastAsia="zh-CN"/>
        </w:rPr>
        <w:br w:type="textWrapping"/>
      </w:r>
      <w:r>
        <w:rPr>
          <w:rFonts w:hint="eastAsia" w:ascii="宋体" w:hAnsi="宋体" w:eastAsia="宋体" w:cs="宋体"/>
          <w:b/>
          <w:bCs/>
          <w:color w:val="auto"/>
          <w:sz w:val="21"/>
          <w:szCs w:val="16"/>
          <w:highlight w:val="none"/>
          <w:lang w:val="en-US" w:eastAsia="zh-CN"/>
        </w:rPr>
        <w:t xml:space="preserve">    2.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5974CBF8">
      <w:pPr>
        <w:pStyle w:val="6"/>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一、货物需求一览表</w:t>
      </w:r>
    </w:p>
    <w:tbl>
      <w:tblPr>
        <w:tblStyle w:val="9"/>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733"/>
        <w:gridCol w:w="5547"/>
        <w:gridCol w:w="880"/>
        <w:gridCol w:w="1248"/>
      </w:tblGrid>
      <w:tr w14:paraId="345F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shd w:val="clear" w:color="auto" w:fill="auto"/>
            <w:vAlign w:val="center"/>
          </w:tcPr>
          <w:p w14:paraId="2DE27A8B">
            <w:pPr>
              <w:pStyle w:val="8"/>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733" w:type="dxa"/>
            <w:shd w:val="clear" w:color="auto" w:fill="auto"/>
            <w:vAlign w:val="center"/>
          </w:tcPr>
          <w:p w14:paraId="119ABBD7">
            <w:pPr>
              <w:pStyle w:val="8"/>
              <w:spacing w:line="24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货物名称</w:t>
            </w:r>
          </w:p>
        </w:tc>
        <w:tc>
          <w:tcPr>
            <w:tcW w:w="5547" w:type="dxa"/>
            <w:shd w:val="clear" w:color="auto" w:fill="auto"/>
            <w:vAlign w:val="center"/>
          </w:tcPr>
          <w:p w14:paraId="30BE05B3">
            <w:pPr>
              <w:pStyle w:val="8"/>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主要技术参数</w:t>
            </w:r>
          </w:p>
        </w:tc>
        <w:tc>
          <w:tcPr>
            <w:tcW w:w="880" w:type="dxa"/>
            <w:shd w:val="clear" w:color="auto" w:fill="auto"/>
            <w:vAlign w:val="center"/>
          </w:tcPr>
          <w:p w14:paraId="32159E95">
            <w:pPr>
              <w:widowControl/>
              <w:spacing w:line="240" w:lineRule="auto"/>
              <w:jc w:val="center"/>
              <w:textAlignment w:val="center"/>
              <w:rPr>
                <w:rFonts w:hint="eastAsia" w:asciiTheme="minorEastAsia" w:hAnsiTheme="minorEastAsia" w:eastAsiaTheme="minorEastAsia" w:cstheme="minorEastAsia"/>
                <w:b/>
                <w:bCs/>
                <w:color w:val="auto"/>
                <w:kern w:val="0"/>
                <w:sz w:val="21"/>
                <w:szCs w:val="21"/>
                <w:lang w:bidi="ar"/>
              </w:rPr>
            </w:pPr>
            <w:r>
              <w:rPr>
                <w:rFonts w:hint="eastAsia" w:asciiTheme="minorEastAsia" w:hAnsiTheme="minorEastAsia" w:eastAsiaTheme="minorEastAsia" w:cstheme="minorEastAsia"/>
                <w:b/>
                <w:bCs/>
                <w:color w:val="auto"/>
                <w:kern w:val="0"/>
                <w:sz w:val="21"/>
                <w:szCs w:val="21"/>
                <w:lang w:bidi="ar"/>
              </w:rPr>
              <w:t>年预估</w:t>
            </w:r>
          </w:p>
          <w:p w14:paraId="6D7C8340">
            <w:pPr>
              <w:pStyle w:val="8"/>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kern w:val="0"/>
                <w:sz w:val="21"/>
                <w:szCs w:val="21"/>
                <w:lang w:bidi="ar"/>
              </w:rPr>
              <w:t>使用量</w:t>
            </w:r>
          </w:p>
        </w:tc>
        <w:tc>
          <w:tcPr>
            <w:tcW w:w="1248" w:type="dxa"/>
            <w:shd w:val="clear" w:color="auto" w:fill="auto"/>
            <w:vAlign w:val="center"/>
          </w:tcPr>
          <w:p w14:paraId="5C2BBDA1">
            <w:pPr>
              <w:pStyle w:val="8"/>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单价最高限价</w:t>
            </w:r>
          </w:p>
        </w:tc>
      </w:tr>
      <w:tr w14:paraId="5136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57F1CC90">
            <w:pPr>
              <w:widowControl/>
              <w:spacing w:line="360" w:lineRule="auto"/>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w:t>
            </w:r>
          </w:p>
        </w:tc>
        <w:tc>
          <w:tcPr>
            <w:tcW w:w="1733" w:type="dxa"/>
            <w:shd w:val="clear" w:color="auto" w:fill="auto"/>
            <w:vAlign w:val="center"/>
          </w:tcPr>
          <w:p w14:paraId="25C13B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rPr>
              <w:t>稀释液</w:t>
            </w:r>
          </w:p>
        </w:tc>
        <w:tc>
          <w:tcPr>
            <w:tcW w:w="5547" w:type="dxa"/>
            <w:shd w:val="clear" w:color="auto" w:fill="auto"/>
            <w:vAlign w:val="center"/>
          </w:tcPr>
          <w:p w14:paraId="2E7809F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1.1、规格：20L/瓶；</w:t>
            </w:r>
          </w:p>
          <w:p w14:paraId="3C8F9B8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1.2、预期用途：用于血细胞分析前，样本的稀释，制备细胞悬液；</w:t>
            </w:r>
          </w:p>
          <w:p w14:paraId="085B5E1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1.3、检测原理：该稀释液与Sysmex血液分析仪器配套使用时，用EDTA（乙三胺四乙酸）盐进行过抗凝固处理的血液在白血球检测器内用稀释液进行稀释。以稀释液提供血细胞的测试环境，其中一个测量池测定红细胞、血小板计数，另一个测量池中的溶血剂使红细胞迅速溶解，白细胞收缩，依其细胞多少进行计数，依其核的大小进行白细胞分类计数，同时测定血红蛋白含量。这种方法使红血球保持原来的形状，不会产生凝集和溶血现象，达到保护被检血球的目的。</w:t>
            </w:r>
          </w:p>
          <w:p w14:paraId="6D959A8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1.4、主要组成成分：氯化钠 6.4g/l，硼酸 1.0g/l，四硼酸钠 0.2g/l，EDTA-2K 0.2g/l</w:t>
            </w:r>
          </w:p>
          <w:p w14:paraId="0E9055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1.5、储存条件及有效期：储存于1-30℃干净的环境中，有效期18个月，开封后有效使用期限2个月。</w:t>
            </w:r>
          </w:p>
          <w:p w14:paraId="20E9C10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lang w:val="en-US" w:eastAsia="zh-CN"/>
              </w:rPr>
              <w:t>1.6、产品的性能指标：防腐剂（砒啶类）含量 吸光度应在0.415-0.470ABS，空白测定值WBC≤0.3*10</w:t>
            </w:r>
            <w:r>
              <w:rPr>
                <w:rFonts w:hint="eastAsia" w:asciiTheme="minorEastAsia" w:hAnsiTheme="minorEastAsia" w:eastAsiaTheme="minorEastAsia" w:cstheme="minorEastAsia"/>
                <w:b w:val="0"/>
                <w:bCs w:val="0"/>
                <w:color w:val="auto"/>
                <w:sz w:val="21"/>
                <w:szCs w:val="21"/>
                <w:lang w:val="en-US" w:eastAsia="zh-CN"/>
              </w:rPr>
              <w:softHyphen/>
            </w:r>
            <w:r>
              <w:rPr>
                <w:rFonts w:hint="eastAsia" w:asciiTheme="minorEastAsia" w:hAnsiTheme="minorEastAsia" w:eastAsiaTheme="minorEastAsia" w:cstheme="minorEastAsia"/>
                <w:b w:val="0"/>
                <w:bCs w:val="0"/>
                <w:color w:val="auto"/>
                <w:sz w:val="21"/>
                <w:szCs w:val="21"/>
                <w:lang w:val="en-US" w:eastAsia="zh-CN"/>
              </w:rPr>
              <w:t>3/ul、RBC≤0.038106/ul、PLT≤10*103/ul，PH值7.65-7.85，电导率为13.20-13.40mS/cm，渗透压240-260m0sm/kg</w:t>
            </w:r>
          </w:p>
        </w:tc>
        <w:tc>
          <w:tcPr>
            <w:tcW w:w="880" w:type="dxa"/>
            <w:shd w:val="clear" w:color="auto" w:fill="auto"/>
            <w:vAlign w:val="center"/>
          </w:tcPr>
          <w:p w14:paraId="7EC5AE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vertAlign w:val="baseline"/>
                <w:lang w:val="en-US" w:eastAsia="zh-CN"/>
              </w:rPr>
              <w:t>15瓶</w:t>
            </w:r>
          </w:p>
        </w:tc>
        <w:tc>
          <w:tcPr>
            <w:tcW w:w="1248" w:type="dxa"/>
            <w:shd w:val="clear" w:color="auto" w:fill="auto"/>
            <w:vAlign w:val="center"/>
          </w:tcPr>
          <w:p w14:paraId="11C3A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vertAlign w:val="baseline"/>
                <w:lang w:val="en-US" w:eastAsia="zh-CN"/>
              </w:rPr>
              <w:t>350元/瓶</w:t>
            </w:r>
          </w:p>
        </w:tc>
      </w:tr>
      <w:tr w14:paraId="156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3356FE88">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733" w:type="dxa"/>
            <w:shd w:val="clear" w:color="auto" w:fill="auto"/>
            <w:vAlign w:val="center"/>
          </w:tcPr>
          <w:p w14:paraId="74A9700A">
            <w:pPr>
              <w:spacing w:line="240" w:lineRule="auto"/>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rPr>
              <w:t>溶血剂</w:t>
            </w:r>
          </w:p>
        </w:tc>
        <w:tc>
          <w:tcPr>
            <w:tcW w:w="5547" w:type="dxa"/>
            <w:shd w:val="clear" w:color="auto" w:fill="auto"/>
            <w:vAlign w:val="center"/>
          </w:tcPr>
          <w:p w14:paraId="39E80F1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2.1、包装规格：500ml*3瓶/盒；</w:t>
            </w:r>
          </w:p>
          <w:p w14:paraId="0FE7DD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2.2、预期用途：用于血细胞分析前破坏红细胞、溶出血红蛋白、维持所需分析细胞的形态，从而便于细胞分类计数或血红蛋白定量测定；</w:t>
            </w:r>
          </w:p>
          <w:p w14:paraId="493AC1F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2.3、检验原理：血细胞分析用溶血剂 STROMATOLYSER-WH用于Sysmex自动血球仪测定白细胞数日，血红蛋白的浓度，提供白细胞三分类粒度分布图。</w:t>
            </w:r>
          </w:p>
          <w:p w14:paraId="4DA2938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首先，把用 EDTA(乙二胺四乙酸)盐进行过抗凝固处理的血液在白血球检测定器内用血细胞分析用稀释液进行稀释。而后将血细胞分析用溶血剂按一定量(1:2)自动添加，最终达到 500 倍的稀释状态。在添加血细胞分析用溶血剂后，红细胞被溶解，释放出血红蛋白，变成红色的甲基化的血红蛋白，通过血红蛋白检测器测出标本中的血红蛋白的浓度，残留的红血球残片一直收缩到该检测检测不出来的水平白细胞则保持其完好的细胞膜，用 DC 检测器测出白细胞数目并提供白细胞三分类粒度分布图。</w:t>
            </w:r>
          </w:p>
          <w:p w14:paraId="152899B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2.4、主要组成成分：季铵盐 8.5g/l、氯化钠 0.6g/l；</w:t>
            </w:r>
          </w:p>
          <w:p w14:paraId="7D34F69B">
            <w:pPr>
              <w:numPr>
                <w:ilvl w:val="0"/>
                <w:numId w:val="0"/>
              </w:numPr>
              <w:spacing w:line="360" w:lineRule="auto"/>
              <w:ind w:firstLine="420" w:firstLineChars="200"/>
              <w:jc w:val="both"/>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lang w:val="en-US" w:eastAsia="zh-CN"/>
              </w:rPr>
              <w:t>2.5、储存条件及有效期：本品储存于2-35℃，未开封情况下有效期为12个月，开封后在2-35℃条件下，可在90天内使用。</w:t>
            </w:r>
          </w:p>
        </w:tc>
        <w:tc>
          <w:tcPr>
            <w:tcW w:w="880" w:type="dxa"/>
            <w:shd w:val="clear" w:color="auto" w:fill="auto"/>
            <w:vAlign w:val="center"/>
          </w:tcPr>
          <w:p w14:paraId="05C49E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vertAlign w:val="baseline"/>
                <w:lang w:val="en-US" w:eastAsia="zh-CN"/>
              </w:rPr>
              <w:t>10瓶</w:t>
            </w:r>
          </w:p>
        </w:tc>
        <w:tc>
          <w:tcPr>
            <w:tcW w:w="1248" w:type="dxa"/>
            <w:shd w:val="clear" w:color="auto" w:fill="auto"/>
            <w:vAlign w:val="center"/>
          </w:tcPr>
          <w:p w14:paraId="56FC1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vertAlign w:val="baseline"/>
                <w:lang w:val="en-US" w:eastAsia="zh-CN"/>
              </w:rPr>
              <w:t>600元/瓶</w:t>
            </w:r>
          </w:p>
        </w:tc>
      </w:tr>
      <w:tr w14:paraId="392D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4E3EF1A7">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1733" w:type="dxa"/>
            <w:shd w:val="clear" w:color="auto" w:fill="auto"/>
            <w:vAlign w:val="center"/>
          </w:tcPr>
          <w:p w14:paraId="5E1708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清洗液</w:t>
            </w:r>
            <w:r>
              <w:rPr>
                <w:rFonts w:hint="eastAsia" w:asciiTheme="minorEastAsia" w:hAnsiTheme="minorEastAsia" w:eastAsiaTheme="minorEastAsia" w:cstheme="minorEastAsia"/>
                <w:color w:val="auto"/>
                <w:sz w:val="21"/>
                <w:szCs w:val="21"/>
                <w:lang w:val="en-US" w:eastAsia="zh-CN"/>
              </w:rPr>
              <w:t>（CELLCLEANTM）</w:t>
            </w:r>
          </w:p>
        </w:tc>
        <w:tc>
          <w:tcPr>
            <w:tcW w:w="5547" w:type="dxa"/>
            <w:shd w:val="clear" w:color="auto" w:fill="auto"/>
            <w:vAlign w:val="center"/>
          </w:tcPr>
          <w:p w14:paraId="733B7A7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3.1、预期用途：CELLCLEAN作为一种强碱清洗剂用来去除残留在sysmex自动血液分析仪中的溶血剂、细胞残液及蛋白质；</w:t>
            </w:r>
          </w:p>
          <w:p w14:paraId="600F4FF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3.2、检验原理：用于清洗仪器来预防剩余样本附着灰尘或繁殖细菌；</w:t>
            </w:r>
          </w:p>
          <w:p w14:paraId="2B69C23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3.3、主要组成成分：次氯酸钠（有效氯浓度5.0%）；</w:t>
            </w:r>
          </w:p>
          <w:p w14:paraId="17DDE80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3.4、储存条件及开封后有效期：未开封有效期为自生产之日起，避光保存于1-30℃时，可保存12个月；</w:t>
            </w:r>
          </w:p>
          <w:p w14:paraId="2DF0F3F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lang w:val="en-US" w:eastAsia="zh-CN"/>
              </w:rPr>
              <w:t>3.5、包装规格：50ml*1瓶/盒。</w:t>
            </w:r>
          </w:p>
        </w:tc>
        <w:tc>
          <w:tcPr>
            <w:tcW w:w="880" w:type="dxa"/>
            <w:shd w:val="clear" w:color="auto" w:fill="auto"/>
            <w:vAlign w:val="center"/>
          </w:tcPr>
          <w:p w14:paraId="21FA38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vertAlign w:val="baseline"/>
                <w:lang w:val="en-US" w:eastAsia="zh-CN"/>
              </w:rPr>
              <w:t>10瓶</w:t>
            </w:r>
          </w:p>
        </w:tc>
        <w:tc>
          <w:tcPr>
            <w:tcW w:w="1248" w:type="dxa"/>
            <w:shd w:val="clear" w:color="auto" w:fill="auto"/>
            <w:vAlign w:val="center"/>
          </w:tcPr>
          <w:p w14:paraId="63711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vertAlign w:val="baseline"/>
                <w:lang w:val="en-US" w:eastAsia="zh-CN"/>
              </w:rPr>
              <w:t>700元/瓶</w:t>
            </w:r>
          </w:p>
        </w:tc>
      </w:tr>
      <w:tr w14:paraId="17D5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6F478CE5">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1733" w:type="dxa"/>
            <w:shd w:val="clear" w:color="auto" w:fill="auto"/>
            <w:vAlign w:val="center"/>
          </w:tcPr>
          <w:p w14:paraId="701F06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质控品</w:t>
            </w:r>
          </w:p>
        </w:tc>
        <w:tc>
          <w:tcPr>
            <w:tcW w:w="5547" w:type="dxa"/>
            <w:shd w:val="clear" w:color="auto" w:fill="auto"/>
            <w:vAlign w:val="center"/>
          </w:tcPr>
          <w:p w14:paraId="32A6431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4.1、包装规格：</w:t>
            </w:r>
          </w:p>
          <w:p w14:paraId="4BF4E2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血液分析仪用异常高值质控品（EIGHTCHECK-3WP-H）：1.5 mL /瓶；4.6 mL / 瓶；</w:t>
            </w:r>
          </w:p>
          <w:p w14:paraId="7F32C90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血液分析仪用正常值质控品（EIGHTCHECK-3WP-N）：1.5 mL /瓶；4.6 mL / 瓶；</w:t>
            </w:r>
          </w:p>
          <w:p w14:paraId="7BB391E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血液分析仪用异常低值质控品（EIGHTCHECK-3WP-L）：1.5 mL /瓶；4.6 mL / 瓶。</w:t>
            </w:r>
          </w:p>
          <w:p w14:paraId="160F412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4.2、预期用途：</w:t>
            </w:r>
          </w:p>
          <w:p w14:paraId="5BAC845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本产品用于血液分析仪的质量控制，质控项目为：白细胞计数（WBC）、红细胞计数（RBC）、血红蛋白（HGB）、血小板（PLT）、红细胞压积（HCT）、红细胞平均体积（MCV）、平均血红蛋白量（MCH）、平均血红蛋白浓度（MCHC）、小细胞群百分数（W-SCR）、中间细胞群百分数（W-MCR）、大细胞群百分数（W-LCR）、小细胞群总数（W-SCC）、中间细胞群总数（W-MCC）、大细胞群总数（W-LCC）、红细胞分布宽度标准差（RDW-SD）、红细胞体积分布宽度变异系数（RDW-CV）、血小板分布宽度（PDW）、平均血小板体积（MPV）、大型血小板比率（P-LCR）。请勿用来校正仪器。</w:t>
            </w:r>
          </w:p>
          <w:p w14:paraId="492D08E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4.3、检验原理：</w:t>
            </w:r>
          </w:p>
          <w:p w14:paraId="033B45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EIGHTCHECK-3WP-N、EIGHTCHECK-3WP-L及EIGHTCHECK-3WP-H作为质控血用于Sysmex全自动和半自动血液分析仪的质量控制。EIGHTCHECK-3WP-N适用于正常值，EIGHTCHECK-3WP-L适用于异常低值，EIGHTCHECK-3WP-H适用于异常高值。如果血液分析仪采用粒子分布分析功能，EIGHTCHECK-3WP-N、EIGHTCHECK-3WP-L及EIGHTCHECK-3WP-H的白细胞(WBC)直方图显示三个峰。</w:t>
            </w:r>
          </w:p>
          <w:p w14:paraId="1BD28A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用稳定的细胞配制品进行分析仪的质量控制是已确立的方法。在校正调试后的仪器上,采用与患者标本同样的方法处理，在质控模式下测定，EIGHTCHECK-3WP-N、EIGHTCHECK-3WP-L及EIGHTCHECK-3WP-H将会给出在靶值表上的预期范围内的测定值。</w:t>
            </w:r>
          </w:p>
          <w:p w14:paraId="132B551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4.4、主要组成成分：</w:t>
            </w:r>
          </w:p>
          <w:p w14:paraId="02F41ED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由处于稳定状态的人红细胞、固定的哺乳动物白细胞和血小板成分及含防腐剂的溶液组成。</w:t>
            </w:r>
          </w:p>
          <w:p w14:paraId="6231B82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4.5、储存条件及有效期：2～8℃保存，有效期100天。</w:t>
            </w:r>
          </w:p>
          <w:p w14:paraId="50D7A285">
            <w:pPr>
              <w:numPr>
                <w:ilvl w:val="0"/>
                <w:numId w:val="0"/>
              </w:numPr>
              <w:spacing w:line="360" w:lineRule="auto"/>
              <w:jc w:val="both"/>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lang w:val="en-US" w:eastAsia="zh-CN"/>
              </w:rPr>
              <w:t>质控品开瓶后立即放回冰箱，可以保持7天稳定。经测试发现，开瓶后的质控品在室温(25℃)下至少12小时仍然可得到稳定的参数值。</w:t>
            </w:r>
          </w:p>
        </w:tc>
        <w:tc>
          <w:tcPr>
            <w:tcW w:w="880" w:type="dxa"/>
            <w:shd w:val="clear" w:color="auto" w:fill="auto"/>
            <w:vAlign w:val="center"/>
          </w:tcPr>
          <w:p w14:paraId="1E1C28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vertAlign w:val="baseline"/>
                <w:lang w:val="en-US" w:eastAsia="zh-CN"/>
              </w:rPr>
              <w:t>6瓶</w:t>
            </w:r>
          </w:p>
        </w:tc>
        <w:tc>
          <w:tcPr>
            <w:tcW w:w="1248" w:type="dxa"/>
            <w:shd w:val="clear" w:color="auto" w:fill="auto"/>
            <w:vAlign w:val="center"/>
          </w:tcPr>
          <w:p w14:paraId="78BF01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vertAlign w:val="baseline"/>
                <w:lang w:val="en-US" w:eastAsia="zh-CN"/>
              </w:rPr>
              <w:t>300元/瓶</w:t>
            </w:r>
          </w:p>
        </w:tc>
      </w:tr>
      <w:tr w14:paraId="7D2D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1590B77E">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1733" w:type="dxa"/>
            <w:shd w:val="clear" w:color="auto" w:fill="auto"/>
            <w:vAlign w:val="center"/>
          </w:tcPr>
          <w:p w14:paraId="7A62A4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设备年维护校准服务</w:t>
            </w:r>
          </w:p>
        </w:tc>
        <w:tc>
          <w:tcPr>
            <w:tcW w:w="5547" w:type="dxa"/>
            <w:shd w:val="clear" w:color="auto" w:fill="auto"/>
            <w:vAlign w:val="center"/>
          </w:tcPr>
          <w:p w14:paraId="3CE4F68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5.1、校准品要求：血细胞分析仪用校准品（可与采购人现有仪器“Sysmex血液分析仪”配套使用）</w:t>
            </w:r>
          </w:p>
          <w:p w14:paraId="55D6136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5.2、校准品包装规格：2.0 mL /瓶</w:t>
            </w:r>
          </w:p>
          <w:p w14:paraId="1B6F636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5.3、预期用途：本产品用于Sysmex血液分析仪上，对全血细胞计数的白细胞(WBC)、红细胞（RBC）、血红蛋白（HGB）、压积（HCT）、血小板（PLT）项目进行校准。</w:t>
            </w:r>
          </w:p>
          <w:p w14:paraId="113843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5.4、主要组成成分：血细胞分析仪用校准品（SCS-1000）由人体红细胞、人体白细胞、血小板成份和抗菌剂及类血浆水基缓冲液组成。</w:t>
            </w:r>
          </w:p>
          <w:p w14:paraId="2D84A02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5.5、储存条件及有效期：2～8°C保存，有效期49天。避免冰冻，如果存储得当，未开封的产品瓶标签所注明的有效期内稳定。如果存储温度超出建议温度范围，产品可能会变质，而导致仪器校准错误。不要使用受损的物质用于校准。开封后必须4小时内使用。如果开封后4小时内没用完，应废弃在瓶中剩余的部分。</w:t>
            </w:r>
          </w:p>
          <w:p w14:paraId="509050A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5.6、设备维护校准提供所需的校准试剂，须由厂家工程师或是授权工程师到采购人指定地点现场维护校准机器，并出具仪器校准报告。</w:t>
            </w:r>
          </w:p>
        </w:tc>
        <w:tc>
          <w:tcPr>
            <w:tcW w:w="880" w:type="dxa"/>
            <w:shd w:val="clear" w:color="auto" w:fill="auto"/>
            <w:vAlign w:val="center"/>
          </w:tcPr>
          <w:p w14:paraId="340E32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2台</w:t>
            </w:r>
          </w:p>
        </w:tc>
        <w:tc>
          <w:tcPr>
            <w:tcW w:w="1248" w:type="dxa"/>
            <w:shd w:val="clear" w:color="auto" w:fill="auto"/>
            <w:vAlign w:val="center"/>
          </w:tcPr>
          <w:p w14:paraId="2CA177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2800元/台</w:t>
            </w:r>
          </w:p>
        </w:tc>
      </w:tr>
      <w:tr w14:paraId="4B5F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430447EA">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w:t>
            </w:r>
          </w:p>
        </w:tc>
        <w:tc>
          <w:tcPr>
            <w:tcW w:w="1733" w:type="dxa"/>
            <w:shd w:val="clear" w:color="auto" w:fill="auto"/>
            <w:vAlign w:val="center"/>
          </w:tcPr>
          <w:p w14:paraId="15A868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vertAlign w:val="baseline"/>
                <w:lang w:val="en-US" w:eastAsia="zh-CN"/>
              </w:rPr>
              <w:t>AC热敏纸</w:t>
            </w:r>
          </w:p>
        </w:tc>
        <w:tc>
          <w:tcPr>
            <w:tcW w:w="5547" w:type="dxa"/>
            <w:shd w:val="clear" w:color="auto" w:fill="auto"/>
            <w:vAlign w:val="center"/>
          </w:tcPr>
          <w:p w14:paraId="533F259E">
            <w:pPr>
              <w:numPr>
                <w:ilvl w:val="0"/>
                <w:numId w:val="0"/>
              </w:num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880" w:type="dxa"/>
            <w:shd w:val="clear" w:color="auto" w:fill="auto"/>
            <w:vAlign w:val="center"/>
          </w:tcPr>
          <w:p w14:paraId="261A3F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100卷</w:t>
            </w:r>
          </w:p>
        </w:tc>
        <w:tc>
          <w:tcPr>
            <w:tcW w:w="1248" w:type="dxa"/>
            <w:shd w:val="clear" w:color="auto" w:fill="auto"/>
            <w:vAlign w:val="center"/>
          </w:tcPr>
          <w:p w14:paraId="090D4F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12元/卷</w:t>
            </w:r>
          </w:p>
        </w:tc>
      </w:tr>
      <w:tr w14:paraId="0720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22" w:type="dxa"/>
            <w:gridSpan w:val="5"/>
            <w:shd w:val="clear" w:color="auto" w:fill="auto"/>
            <w:vAlign w:val="center"/>
          </w:tcPr>
          <w:p w14:paraId="7CC32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2" w:leftChars="0" w:hanging="422" w:hangingChars="200"/>
              <w:jc w:val="both"/>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要求：上述货物需与血站现有仪器Sysmex系列全自动血液分析仪仪器原装配套，原厂生产。</w:t>
            </w:r>
          </w:p>
        </w:tc>
      </w:tr>
    </w:tbl>
    <w:p w14:paraId="2B43FE52">
      <w:pPr>
        <w:widowControl/>
        <w:spacing w:line="360"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zh-CN"/>
        </w:rPr>
        <w:t>、</w:t>
      </w:r>
      <w:r>
        <w:rPr>
          <w:rFonts w:hint="eastAsia" w:ascii="宋体" w:hAnsi="宋体" w:cs="宋体"/>
          <w:b/>
          <w:bCs/>
          <w:color w:val="auto"/>
          <w:szCs w:val="21"/>
          <w:highlight w:val="none"/>
          <w:lang w:eastAsia="zh-CN"/>
        </w:rPr>
        <w:t>供货期</w:t>
      </w:r>
    </w:p>
    <w:p w14:paraId="0C48B1DD">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合同签订之日起一年或采购费用总额达到成交总价时，以先到者为准，在供货期内按照采购人的要求分批供货，据实结算。（为了保障服务的延续性，服务周期采取1+1+1模式，即服务1年期满后,需求无变化，并经采购人考核合格后可续签一年，最多续签两次。）</w:t>
      </w:r>
    </w:p>
    <w:p w14:paraId="3F8418AB">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三、质量要求</w:t>
      </w:r>
    </w:p>
    <w:p w14:paraId="2DC62A3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1.供应商提供的产品其技术标准按国家标准执行，无国家标准的，按行业标准执行，无国家和行业标准的，按企业标准执行，并且符合相关法律、法规规定的要求。</w:t>
      </w:r>
    </w:p>
    <w:p w14:paraId="4BFF8626">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2.供应商提供的产品必须符合国家、省相关规定的质量标准以及采购人的相关要求。</w:t>
      </w:r>
    </w:p>
    <w:p w14:paraId="72A24F6D">
      <w:pPr>
        <w:spacing w:line="360" w:lineRule="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供货及</w:t>
      </w:r>
      <w:r>
        <w:rPr>
          <w:rFonts w:hint="eastAsia" w:ascii="宋体" w:hAnsi="宋体" w:eastAsia="宋体" w:cs="宋体"/>
          <w:b/>
          <w:bCs/>
          <w:color w:val="auto"/>
          <w:kern w:val="0"/>
          <w:szCs w:val="21"/>
          <w:highlight w:val="none"/>
        </w:rPr>
        <w:t>售后服务要求</w:t>
      </w:r>
    </w:p>
    <w:p w14:paraId="2125221B">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依据商品的保修条款及售后服务条款，如有原厂质保按厂家质保执行，如没有厂家质保，按供应商承诺质保执行，文件另有约定的从其约定。质保期从货物验收合格后算起。如出现问题，接到采购人通知后一小时内给予响应并应负责包退、包换，并承担因产品质量问题导致的一切后果。</w:t>
      </w:r>
    </w:p>
    <w:p w14:paraId="0C494EB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2.自合同签订后一年内，按采购人实际需求分批供货，接到采购人供货通知后3天内发货，7天内完成供货。</w:t>
      </w:r>
    </w:p>
    <w:p w14:paraId="0B7C41DE">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3.产品生产日期要求近期（距离出厂日期，不得超过有效期三分之一时间），如发现有接近失效期的产品，供应商应三天内更换成近期产品。</w:t>
      </w:r>
    </w:p>
    <w:p w14:paraId="1F9778A0">
      <w:pPr>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lang w:val="en-US" w:eastAsia="zh-CN"/>
        </w:rPr>
        <w:t>承诺成交后</w:t>
      </w:r>
      <w:r>
        <w:rPr>
          <w:rFonts w:hint="default" w:ascii="宋体" w:hAnsi="宋体" w:eastAsia="宋体" w:cs="宋体"/>
          <w:b/>
          <w:bCs/>
          <w:color w:val="auto"/>
          <w:szCs w:val="21"/>
          <w:highlight w:val="none"/>
          <w:lang w:val="en-US" w:eastAsia="zh-CN"/>
        </w:rPr>
        <w:t>配备合适的运输车辆或选择具备相应资质和能力的物流公司承担配送服务</w:t>
      </w:r>
      <w:r>
        <w:rPr>
          <w:rFonts w:hint="eastAsia" w:ascii="宋体" w:hAnsi="宋体" w:eastAsia="宋体" w:cs="宋体"/>
          <w:b/>
          <w:bCs/>
          <w:color w:val="auto"/>
          <w:szCs w:val="21"/>
          <w:highlight w:val="none"/>
          <w:lang w:val="en-US" w:eastAsia="zh-CN"/>
        </w:rPr>
        <w:t>。（响应文件中需提供承诺函并加盖供应商公章）</w:t>
      </w:r>
    </w:p>
    <w:p w14:paraId="011063AC">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cs="宋体"/>
          <w:b/>
          <w:bCs/>
          <w:color w:val="auto"/>
          <w:szCs w:val="21"/>
          <w:highlight w:val="none"/>
          <w:lang w:val="en-US" w:eastAsia="zh-CN"/>
        </w:rPr>
        <w:t>五</w:t>
      </w:r>
      <w:r>
        <w:rPr>
          <w:rFonts w:hint="eastAsia" w:ascii="宋体" w:hAnsi="宋体" w:eastAsia="宋体" w:cs="宋体"/>
          <w:b/>
          <w:bCs/>
          <w:color w:val="auto"/>
          <w:szCs w:val="21"/>
          <w:highlight w:val="none"/>
          <w:lang w:val="zh-CN"/>
        </w:rPr>
        <w:t>、报价要求</w:t>
      </w:r>
    </w:p>
    <w:p w14:paraId="0235C6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采购需求中列明的货物</w:t>
      </w:r>
      <w:r>
        <w:rPr>
          <w:rFonts w:hint="eastAsia" w:ascii="宋体" w:hAnsi="宋体" w:eastAsia="宋体" w:cs="宋体"/>
          <w:color w:val="auto"/>
          <w:szCs w:val="21"/>
          <w:highlight w:val="none"/>
        </w:rPr>
        <w:t>年预估使用量</w:t>
      </w:r>
      <w:r>
        <w:rPr>
          <w:rFonts w:hint="eastAsia" w:ascii="宋体" w:hAnsi="宋体" w:eastAsia="宋体" w:cs="宋体"/>
          <w:color w:val="auto"/>
          <w:szCs w:val="21"/>
          <w:highlight w:val="none"/>
          <w:lang w:val="en-US" w:eastAsia="zh-CN"/>
        </w:rPr>
        <w:t>为暂定量，本项目按实结算，供应商须按暂定量同时报所投货物分项单价及总价，总价作为定标的依据，分项单价作为据实结算的依据，分项单价不得高于单项最高限价，否则响应无效。供应商</w:t>
      </w:r>
      <w:r>
        <w:rPr>
          <w:rFonts w:hint="eastAsia" w:ascii="宋体" w:hAnsi="宋体" w:eastAsia="宋体" w:cs="宋体"/>
          <w:color w:val="auto"/>
          <w:szCs w:val="21"/>
          <w:highlight w:val="none"/>
        </w:rPr>
        <w:t>报价应包含产品费用、运费(多次分批量送货，含装卸力资）、税费、</w:t>
      </w:r>
      <w:r>
        <w:rPr>
          <w:rFonts w:hint="eastAsia" w:ascii="宋体" w:hAnsi="宋体" w:eastAsia="宋体" w:cs="宋体"/>
          <w:color w:val="auto"/>
          <w:szCs w:val="21"/>
          <w:highlight w:val="none"/>
          <w:lang w:val="zh-CN"/>
        </w:rPr>
        <w:t>检验</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保险费、仓储费、包装费、售后服务等为完成本项目所必须的其他辅助工作的相关费用等所有费用。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应结合采购需求及自身情况合理报价，一旦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单价后期将不作任何调整。</w:t>
      </w:r>
    </w:p>
    <w:p w14:paraId="5A221435">
      <w:pPr>
        <w:widowControl/>
        <w:spacing w:line="360" w:lineRule="auto"/>
        <w:rPr>
          <w:rFonts w:hint="eastAsia" w:ascii="宋体" w:hAnsi="宋体" w:eastAsia="宋体" w:cs="宋体"/>
          <w:b/>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验收</w:t>
      </w:r>
    </w:p>
    <w:p w14:paraId="0A9F32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验收时</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人和</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双方共同实施验收工作，验收合格后，结果和验收报告经双方确认后生效。</w:t>
      </w:r>
    </w:p>
    <w:p w14:paraId="71C16CF0">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cs="宋体"/>
          <w:b/>
          <w:bCs/>
          <w:color w:val="auto"/>
          <w:szCs w:val="21"/>
          <w:highlight w:val="none"/>
          <w:lang w:val="en-US" w:eastAsia="zh-CN"/>
        </w:rPr>
        <w:t>七</w:t>
      </w:r>
      <w:r>
        <w:rPr>
          <w:rFonts w:hint="eastAsia" w:ascii="宋体" w:hAnsi="宋体" w:eastAsia="宋体" w:cs="宋体"/>
          <w:b/>
          <w:bCs/>
          <w:color w:val="auto"/>
          <w:szCs w:val="21"/>
          <w:highlight w:val="none"/>
          <w:lang w:val="zh-CN"/>
        </w:rPr>
        <w:t>、付款方式</w:t>
      </w:r>
    </w:p>
    <w:p w14:paraId="4B55CD54">
      <w:pPr>
        <w:spacing w:line="360" w:lineRule="auto"/>
        <w:ind w:firstLine="420" w:firstLineChars="200"/>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成交人按采购人实际需求分批供货、结算时按实际供货量据实结算，其结算价=实际供货数量*分项报价。</w:t>
      </w:r>
    </w:p>
    <w:p w14:paraId="06D993B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rPr>
        <w:t>批次</w:t>
      </w:r>
      <w:r>
        <w:rPr>
          <w:rFonts w:hint="eastAsia" w:ascii="宋体" w:hAnsi="宋体" w:eastAsia="宋体" w:cs="宋体"/>
          <w:color w:val="auto"/>
          <w:szCs w:val="21"/>
          <w:highlight w:val="none"/>
          <w:lang w:val="en-US" w:eastAsia="zh-CN"/>
        </w:rPr>
        <w:t>供货</w:t>
      </w:r>
      <w:r>
        <w:rPr>
          <w:rFonts w:hint="eastAsia" w:ascii="宋体" w:hAnsi="宋体" w:eastAsia="宋体" w:cs="宋体"/>
          <w:color w:val="auto"/>
          <w:szCs w:val="21"/>
          <w:highlight w:val="none"/>
        </w:rPr>
        <w:t>，合同履行完毕且经采购人验收合格后</w:t>
      </w:r>
      <w:r>
        <w:rPr>
          <w:rFonts w:hint="eastAsia" w:ascii="宋体" w:hAnsi="宋体" w:eastAsia="宋体" w:cs="宋体"/>
          <w:color w:val="auto"/>
          <w:szCs w:val="21"/>
          <w:highlight w:val="none"/>
          <w:lang w:val="en-US" w:eastAsia="zh-CN"/>
        </w:rPr>
        <w:t>一次性付款。</w:t>
      </w:r>
    </w:p>
    <w:p w14:paraId="7C054A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55C17"/>
    <w:rsid w:val="5B75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Body Text First Indent 2"/>
    <w:basedOn w:val="4"/>
    <w:qFormat/>
    <w:uiPriority w:val="0"/>
    <w:pPr>
      <w:ind w:firstLine="420" w:firstLineChars="200"/>
    </w:pPr>
  </w:style>
  <w:style w:type="paragraph" w:styleId="4">
    <w:name w:val="Body Text Indent"/>
    <w:basedOn w:val="1"/>
    <w:next w:val="5"/>
    <w:qFormat/>
    <w:uiPriority w:val="0"/>
    <w:pPr>
      <w:spacing w:after="120"/>
      <w:ind w:left="420" w:leftChars="200"/>
    </w:pPr>
    <w:rPr>
      <w:rFonts w:ascii="Times New Roman" w:hAnsi="Times New Roman"/>
      <w:kern w:val="0"/>
      <w:szCs w:val="21"/>
    </w:rPr>
  </w:style>
  <w:style w:type="paragraph" w:styleId="5">
    <w:name w:val="envelope return"/>
    <w:basedOn w:val="1"/>
    <w:qFormat/>
    <w:uiPriority w:val="0"/>
    <w:pPr>
      <w:snapToGrid w:val="0"/>
    </w:pPr>
    <w:rPr>
      <w:rFonts w:ascii="Arial" w:hAnsi="Arial"/>
    </w:rPr>
  </w:style>
  <w:style w:type="paragraph" w:styleId="6">
    <w:name w:val="Body Text"/>
    <w:basedOn w:val="1"/>
    <w:next w:val="7"/>
    <w:qFormat/>
    <w:uiPriority w:val="0"/>
    <w:pPr>
      <w:spacing w:after="120"/>
    </w:p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2024-11-21T01:05:00Z</dcterms:created>
  <dc:creator>夷喊姓唐第</dc:creator>
  <cp:lastModifiedBy>夷喊姓唐第</cp:lastModifiedBy>
  <dcterms:modified xsi:type="dcterms:W3CDTF">2024-11-21T01:05:26Z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88FF31390CDE4F71B71C9D6C98EDB478_11</vt:lpwstr>
  </property>
</Properties>
</file>