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07356">
      <w:pPr>
        <w:widowControl/>
        <w:numPr>
          <w:numId w:val="0"/>
        </w:numPr>
        <w:jc w:val="center"/>
        <w:outlineLvl w:val="0"/>
        <w:rPr>
          <w:rFonts w:ascii="宋体" w:hAnsi="宋体" w:cs="宋体"/>
          <w:b/>
          <w:bCs/>
          <w:color w:val="auto"/>
          <w:kern w:val="0"/>
          <w:sz w:val="30"/>
          <w:szCs w:val="30"/>
          <w:highlight w:val="none"/>
          <w:lang w:bidi="ar"/>
        </w:rPr>
      </w:pPr>
      <w:bookmarkStart w:id="1" w:name="_GoBack"/>
      <w:bookmarkEnd w:id="1"/>
      <w:bookmarkStart w:id="0" w:name="_Toc7724"/>
      <w:r>
        <w:rPr>
          <w:rFonts w:hint="eastAsia" w:ascii="宋体" w:hAnsi="宋体" w:cs="宋体"/>
          <w:b/>
          <w:bCs/>
          <w:color w:val="auto"/>
          <w:kern w:val="0"/>
          <w:sz w:val="30"/>
          <w:szCs w:val="30"/>
          <w:highlight w:val="none"/>
          <w:lang w:bidi="ar"/>
        </w:rPr>
        <w:t>采购需求</w:t>
      </w:r>
      <w:bookmarkEnd w:id="0"/>
    </w:p>
    <w:p w14:paraId="6C60BED6">
      <w:pPr>
        <w:pStyle w:val="2"/>
        <w:numPr>
          <w:ilvl w:val="0"/>
          <w:numId w:val="0"/>
        </w:numPr>
        <w:spacing w:line="360" w:lineRule="auto"/>
        <w:ind w:firstLine="422" w:firstLineChars="200"/>
        <w:rPr>
          <w:rFonts w:hint="eastAsia" w:ascii="宋体" w:hAnsi="Times New Roman" w:eastAsia="宋体" w:cs="Times New Roman"/>
          <w:b/>
          <w:bCs/>
          <w:color w:val="auto"/>
          <w:sz w:val="21"/>
          <w:szCs w:val="16"/>
          <w:highlight w:val="none"/>
          <w:lang w:val="en-US" w:eastAsia="zh-CN"/>
        </w:rPr>
      </w:pPr>
      <w:r>
        <w:rPr>
          <w:rFonts w:hint="eastAsia"/>
          <w:b/>
          <w:bCs/>
          <w:color w:val="auto"/>
          <w:sz w:val="21"/>
          <w:szCs w:val="16"/>
          <w:highlight w:val="none"/>
          <w:lang w:val="en-US" w:eastAsia="zh-CN"/>
        </w:rPr>
        <w:t>为鼓励不同品牌的充分竞争，如某货物的某技术参数或要求属于个别品牌专有，则该技术参数及要求不具有限制性，供应</w:t>
      </w:r>
      <w:r>
        <w:rPr>
          <w:rFonts w:hint="eastAsia" w:ascii="宋体" w:hAnsi="Times New Roman" w:eastAsia="宋体" w:cs="Times New Roman"/>
          <w:b/>
          <w:bCs/>
          <w:color w:val="auto"/>
          <w:sz w:val="21"/>
          <w:szCs w:val="16"/>
          <w:highlight w:val="none"/>
          <w:lang w:val="en-US" w:eastAsia="zh-CN"/>
        </w:rPr>
        <w:t>商可对该参数或要求进行适当调整，并应当说明调整的理由，且该调整须经评审小组审核认可。</w:t>
      </w:r>
    </w:p>
    <w:p w14:paraId="5974CBF8">
      <w:pPr>
        <w:pStyle w:val="6"/>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一、货物需求一览表</w:t>
      </w:r>
    </w:p>
    <w:tbl>
      <w:tblPr>
        <w:tblStyle w:val="9"/>
        <w:tblW w:w="10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251"/>
        <w:gridCol w:w="6403"/>
        <w:gridCol w:w="880"/>
        <w:gridCol w:w="1183"/>
      </w:tblGrid>
      <w:tr w14:paraId="345F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vAlign w:val="center"/>
          </w:tcPr>
          <w:p w14:paraId="2DE27A8B">
            <w:pPr>
              <w:pStyle w:val="8"/>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51" w:type="dxa"/>
            <w:shd w:val="clear" w:color="auto" w:fill="auto"/>
            <w:vAlign w:val="center"/>
          </w:tcPr>
          <w:p w14:paraId="119ABBD7">
            <w:pPr>
              <w:pStyle w:val="8"/>
              <w:spacing w:line="240" w:lineRule="auto"/>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货物名称</w:t>
            </w:r>
          </w:p>
        </w:tc>
        <w:tc>
          <w:tcPr>
            <w:tcW w:w="6403" w:type="dxa"/>
            <w:shd w:val="clear" w:color="auto" w:fill="auto"/>
            <w:vAlign w:val="center"/>
          </w:tcPr>
          <w:p w14:paraId="30BE05B3">
            <w:pPr>
              <w:pStyle w:val="8"/>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主要技术参数</w:t>
            </w:r>
          </w:p>
        </w:tc>
        <w:tc>
          <w:tcPr>
            <w:tcW w:w="880" w:type="dxa"/>
            <w:shd w:val="clear" w:color="auto" w:fill="auto"/>
            <w:vAlign w:val="center"/>
          </w:tcPr>
          <w:p w14:paraId="32159E95">
            <w:pPr>
              <w:widowControl/>
              <w:spacing w:line="240" w:lineRule="auto"/>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年预估</w:t>
            </w:r>
          </w:p>
          <w:p w14:paraId="6D7C8340">
            <w:pPr>
              <w:pStyle w:val="8"/>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lang w:bidi="ar"/>
              </w:rPr>
              <w:t>使用量</w:t>
            </w:r>
          </w:p>
        </w:tc>
        <w:tc>
          <w:tcPr>
            <w:tcW w:w="1183" w:type="dxa"/>
            <w:shd w:val="clear" w:color="auto" w:fill="auto"/>
            <w:vAlign w:val="center"/>
          </w:tcPr>
          <w:p w14:paraId="56FA3155">
            <w:pPr>
              <w:pStyle w:val="8"/>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单价最高</w:t>
            </w:r>
          </w:p>
          <w:p w14:paraId="5C2BBDA1">
            <w:pPr>
              <w:pStyle w:val="8"/>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限价</w:t>
            </w:r>
          </w:p>
        </w:tc>
      </w:tr>
      <w:tr w14:paraId="5136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9" w:type="dxa"/>
            <w:shd w:val="clear" w:color="auto" w:fill="auto"/>
            <w:vAlign w:val="center"/>
          </w:tcPr>
          <w:p w14:paraId="57F1CC90">
            <w:pPr>
              <w:widowControl/>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p>
        </w:tc>
        <w:tc>
          <w:tcPr>
            <w:tcW w:w="1251" w:type="dxa"/>
            <w:shd w:val="clear" w:color="auto" w:fill="auto"/>
            <w:vAlign w:val="center"/>
          </w:tcPr>
          <w:p w14:paraId="25C13B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 w:val="0"/>
                <w:bCs w:val="0"/>
                <w:color w:val="auto"/>
                <w:kern w:val="0"/>
                <w:sz w:val="21"/>
                <w:szCs w:val="21"/>
                <w:lang w:val="en-US" w:eastAsia="zh-CN" w:bidi="ar"/>
              </w:rPr>
              <w:t>血红蛋白目测试剂</w:t>
            </w:r>
          </w:p>
        </w:tc>
        <w:tc>
          <w:tcPr>
            <w:tcW w:w="6403" w:type="dxa"/>
            <w:shd w:val="clear" w:color="auto" w:fill="auto"/>
            <w:vAlign w:val="center"/>
          </w:tcPr>
          <w:p w14:paraId="708BC44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1、包装规格：男用85ml/瓶，女用85ml/瓶；采用透明塑料瓶包装。每套含男用、女用试剂各一瓶，如采购人有特殊需要，可以定制每套均为男试剂或女试剂；</w:t>
            </w:r>
          </w:p>
          <w:p w14:paraId="2995029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2、适用范围：主要用于采供血机构对献血者血红蛋白含量的筛检；</w:t>
            </w:r>
          </w:p>
          <w:p w14:paraId="1EA6F3C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3、适用温度：试剂使用环境温度有16℃、20℃、24℃、28℃、32℃等，可根据采购人的需求向供应商提前订购，在所订温度的±2℃范围内使用即可；</w:t>
            </w:r>
          </w:p>
          <w:p w14:paraId="299D567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4、主要组成成份：由不同比重的硫酸铜溶液分别装入两个塑料瓶中制成；男用硫酸铜溶液比重为1.0520±0.0005，溶液颜色为绿色；女用硫酸铜溶液比重为1.0510±0.0005，溶液颜色为蓝色；</w:t>
            </w:r>
          </w:p>
          <w:p w14:paraId="22F52F30">
            <w:pPr>
              <w:pStyle w:val="11"/>
              <w:numPr>
                <w:ilvl w:val="0"/>
                <w:numId w:val="0"/>
              </w:numPr>
              <w:spacing w:line="360" w:lineRule="auto"/>
              <w:ind w:left="0" w:leftChars="0" w:firstLine="420" w:firstLineChars="200"/>
              <w:jc w:val="both"/>
              <w:rPr>
                <w:rFonts w:hint="eastAsia" w:ascii="宋体" w:hAnsi="宋体" w:eastAsia="宋体" w:cs="宋体"/>
                <w:color w:val="auto"/>
                <w:kern w:val="0"/>
                <w:sz w:val="21"/>
                <w:szCs w:val="21"/>
                <w:highlight w:val="none"/>
                <w:lang w:bidi="ar"/>
              </w:rPr>
            </w:pPr>
            <w:r>
              <w:rPr>
                <w:rFonts w:hint="eastAsia" w:ascii="宋体" w:hAnsi="宋体" w:eastAsia="宋体" w:cs="宋体"/>
                <w:b w:val="0"/>
                <w:bCs w:val="0"/>
                <w:color w:val="auto"/>
                <w:sz w:val="21"/>
                <w:szCs w:val="21"/>
                <w:lang w:val="en-US" w:eastAsia="zh-CN"/>
              </w:rPr>
              <w:t>5、检验原理：此试剂是用硫酸铜比重液测定血液样品密度合格下限的方法，其原理是将血液滴入已知比重的硫酸铜溶液内，形成一层蛋白质铜盐，包围在血滴外层。观察全血在不同比重的硫酸铜溶液中沉浮或停留不动情况，即可测得血液的比重。</w:t>
            </w:r>
          </w:p>
        </w:tc>
        <w:tc>
          <w:tcPr>
            <w:tcW w:w="880" w:type="dxa"/>
            <w:shd w:val="clear" w:color="auto" w:fill="auto"/>
            <w:vAlign w:val="center"/>
          </w:tcPr>
          <w:p w14:paraId="7EC5AED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 w:val="0"/>
                <w:bCs w:val="0"/>
                <w:color w:val="auto"/>
                <w:sz w:val="21"/>
                <w:szCs w:val="21"/>
                <w:vertAlign w:val="baseline"/>
                <w:lang w:val="en-US" w:eastAsia="zh-CN"/>
              </w:rPr>
              <w:t>600套</w:t>
            </w:r>
          </w:p>
        </w:tc>
        <w:tc>
          <w:tcPr>
            <w:tcW w:w="1183" w:type="dxa"/>
            <w:shd w:val="clear" w:color="auto" w:fill="auto"/>
            <w:vAlign w:val="center"/>
          </w:tcPr>
          <w:p w14:paraId="11C3AC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color w:val="auto"/>
                <w:sz w:val="21"/>
                <w:szCs w:val="21"/>
                <w:vertAlign w:val="baseline"/>
                <w:lang w:val="en-US" w:eastAsia="zh-CN"/>
              </w:rPr>
              <w:t>22元/套</w:t>
            </w:r>
          </w:p>
        </w:tc>
      </w:tr>
      <w:tr w14:paraId="156F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9" w:type="dxa"/>
            <w:shd w:val="clear" w:color="auto" w:fill="auto"/>
            <w:vAlign w:val="center"/>
          </w:tcPr>
          <w:p w14:paraId="3356FE88">
            <w:pPr>
              <w:widowControl/>
              <w:spacing w:line="36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1251" w:type="dxa"/>
            <w:shd w:val="clear" w:color="auto" w:fill="auto"/>
            <w:vAlign w:val="center"/>
          </w:tcPr>
          <w:p w14:paraId="74A970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 w:val="0"/>
                <w:bCs w:val="0"/>
                <w:color w:val="auto"/>
                <w:kern w:val="0"/>
                <w:sz w:val="21"/>
                <w:szCs w:val="21"/>
                <w:lang w:val="en-US" w:eastAsia="zh-CN" w:bidi="ar"/>
              </w:rPr>
              <w:t>丙氨酸氨基转移酶试剂条</w:t>
            </w:r>
          </w:p>
        </w:tc>
        <w:tc>
          <w:tcPr>
            <w:tcW w:w="6403" w:type="dxa"/>
            <w:shd w:val="clear" w:color="auto" w:fill="auto"/>
            <w:vAlign w:val="center"/>
          </w:tcPr>
          <w:p w14:paraId="6ED5AFF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1、方法学：干化学法；</w:t>
            </w:r>
          </w:p>
          <w:p w14:paraId="6FD31A3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2、检测原理：反射光度法、速率法；</w:t>
            </w:r>
          </w:p>
          <w:p w14:paraId="605A366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3、标本类型：末梢血、静脉全血及由此处理出血清样本，肝素全血或者肝素化血浆；</w:t>
            </w:r>
          </w:p>
          <w:p w14:paraId="225E9D5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4、标本量：30µl；</w:t>
            </w:r>
          </w:p>
          <w:p w14:paraId="209E11B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5、检测时间：2分钟；</w:t>
            </w:r>
          </w:p>
          <w:p w14:paraId="71A57BB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6、检测范围：0-500U/L；</w:t>
            </w:r>
          </w:p>
          <w:p w14:paraId="2E46BF7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7、检测准确性：与IFCC推荐法比较，在ALT浓度0～50U/L时，偏差控制在±6U/L；50～500 U/L时，偏差控制在±15%以内；</w:t>
            </w:r>
          </w:p>
          <w:p w14:paraId="467BA01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8、有效期：18个月；</w:t>
            </w:r>
          </w:p>
          <w:p w14:paraId="0B1BD75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 w:val="0"/>
                <w:bCs w:val="0"/>
                <w:color w:val="auto"/>
                <w:sz w:val="21"/>
                <w:szCs w:val="21"/>
                <w:lang w:val="en-US" w:eastAsia="zh-CN"/>
              </w:rPr>
              <w:t>9、能与血站现有的干式生化仪XC-100兼容使用。</w:t>
            </w:r>
          </w:p>
        </w:tc>
        <w:tc>
          <w:tcPr>
            <w:tcW w:w="880" w:type="dxa"/>
            <w:shd w:val="clear" w:color="auto" w:fill="auto"/>
            <w:vAlign w:val="center"/>
          </w:tcPr>
          <w:p w14:paraId="05C49EA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 w:val="0"/>
                <w:bCs w:val="0"/>
                <w:color w:val="auto"/>
                <w:sz w:val="21"/>
                <w:szCs w:val="21"/>
                <w:vertAlign w:val="baseline"/>
                <w:lang w:val="en-US" w:eastAsia="zh-CN"/>
              </w:rPr>
              <w:t>500人份</w:t>
            </w:r>
          </w:p>
        </w:tc>
        <w:tc>
          <w:tcPr>
            <w:tcW w:w="1183" w:type="dxa"/>
            <w:shd w:val="clear" w:color="auto" w:fill="auto"/>
            <w:vAlign w:val="center"/>
          </w:tcPr>
          <w:p w14:paraId="56FC15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color w:val="auto"/>
                <w:sz w:val="21"/>
                <w:szCs w:val="21"/>
                <w:vertAlign w:val="baseline"/>
                <w:lang w:val="en-US" w:eastAsia="zh-CN"/>
              </w:rPr>
              <w:t>3.4元/人份</w:t>
            </w:r>
          </w:p>
        </w:tc>
      </w:tr>
      <w:tr w14:paraId="392D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9" w:type="dxa"/>
            <w:shd w:val="clear" w:color="auto" w:fill="auto"/>
            <w:vAlign w:val="center"/>
          </w:tcPr>
          <w:p w14:paraId="4E3EF1A7">
            <w:pPr>
              <w:widowControl/>
              <w:spacing w:line="36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1251" w:type="dxa"/>
            <w:shd w:val="clear" w:color="auto" w:fill="auto"/>
            <w:vAlign w:val="center"/>
          </w:tcPr>
          <w:p w14:paraId="5E1708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 w:val="0"/>
                <w:bCs w:val="0"/>
                <w:color w:val="auto"/>
                <w:kern w:val="0"/>
                <w:sz w:val="21"/>
                <w:szCs w:val="21"/>
                <w:lang w:val="en-US" w:eastAsia="zh-CN" w:bidi="ar"/>
              </w:rPr>
              <w:t>乙肝表面抗原HBsAg金标试剂条</w:t>
            </w:r>
          </w:p>
        </w:tc>
        <w:tc>
          <w:tcPr>
            <w:tcW w:w="6403" w:type="dxa"/>
            <w:shd w:val="clear" w:color="auto" w:fill="auto"/>
            <w:vAlign w:val="center"/>
          </w:tcPr>
          <w:p w14:paraId="14DF2C7F">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1、方法学：胶体金免疫层析法；</w:t>
            </w:r>
          </w:p>
          <w:p w14:paraId="4DD1F5D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2、检验原理：夹心法；</w:t>
            </w:r>
          </w:p>
          <w:p w14:paraId="438769A6">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3、样本：全血、血清、血浆，加样量60ul；</w:t>
            </w:r>
          </w:p>
          <w:p w14:paraId="16EB2B0F">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4、结果观察：10分钟；</w:t>
            </w:r>
          </w:p>
          <w:p w14:paraId="74B439C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5、储存条件：4-30度，密封干燥；</w:t>
            </w:r>
          </w:p>
          <w:p w14:paraId="50D72D9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6、有效期：18个月；</w:t>
            </w:r>
          </w:p>
          <w:p w14:paraId="799F8AA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7、灵敏度：用国家参考品或经国家参考品标注的企业参考品进行检定：最低检出量adr≤5IU/ml；adw≤5IU/ml；ay≤5IU/ml；</w:t>
            </w:r>
          </w:p>
          <w:p w14:paraId="26D579CF">
            <w:pPr>
              <w:numPr>
                <w:ilvl w:val="0"/>
                <w:numId w:val="0"/>
              </w:numPr>
              <w:spacing w:line="360" w:lineRule="auto"/>
              <w:ind w:firstLine="420" w:firstLineChars="200"/>
              <w:jc w:val="both"/>
              <w:rPr>
                <w:rFonts w:hint="eastAsia" w:ascii="宋体" w:hAnsi="宋体" w:eastAsia="宋体" w:cs="宋体"/>
                <w:color w:val="auto"/>
                <w:kern w:val="0"/>
                <w:sz w:val="21"/>
                <w:szCs w:val="21"/>
                <w:highlight w:val="none"/>
                <w:lang w:bidi="ar"/>
              </w:rPr>
            </w:pPr>
            <w:r>
              <w:rPr>
                <w:rFonts w:hint="eastAsia" w:ascii="宋体" w:hAnsi="宋体" w:eastAsia="宋体" w:cs="宋体"/>
                <w:b w:val="0"/>
                <w:bCs w:val="0"/>
                <w:color w:val="auto"/>
                <w:sz w:val="21"/>
                <w:szCs w:val="21"/>
                <w:lang w:val="en-US" w:eastAsia="zh-CN"/>
              </w:rPr>
              <w:t>8、抗干扰：1、HAV、HCV、HIV、TP、RF阳性均无交叉反应。2、以下物质浓度范围内不会产干扰：血红蛋白≤5.0g/L；胆红素≤342.0umol/L；甘油三酯≤28.2mmol/L；胆固醇≤20.7mmol/L。</w:t>
            </w:r>
          </w:p>
        </w:tc>
        <w:tc>
          <w:tcPr>
            <w:tcW w:w="880" w:type="dxa"/>
            <w:shd w:val="clear" w:color="auto" w:fill="auto"/>
            <w:vAlign w:val="center"/>
          </w:tcPr>
          <w:p w14:paraId="21FA380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 w:val="0"/>
                <w:bCs w:val="0"/>
                <w:color w:val="auto"/>
                <w:sz w:val="21"/>
                <w:szCs w:val="21"/>
                <w:vertAlign w:val="baseline"/>
                <w:lang w:val="en-US" w:eastAsia="zh-CN"/>
              </w:rPr>
              <w:t>25000人份</w:t>
            </w:r>
          </w:p>
        </w:tc>
        <w:tc>
          <w:tcPr>
            <w:tcW w:w="1183" w:type="dxa"/>
            <w:shd w:val="clear" w:color="auto" w:fill="auto"/>
            <w:vAlign w:val="center"/>
          </w:tcPr>
          <w:p w14:paraId="637118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color w:val="auto"/>
                <w:sz w:val="21"/>
                <w:szCs w:val="21"/>
                <w:vertAlign w:val="baseline"/>
                <w:lang w:val="en-US" w:eastAsia="zh-CN"/>
              </w:rPr>
              <w:t>1.2元/人份</w:t>
            </w:r>
          </w:p>
        </w:tc>
      </w:tr>
    </w:tbl>
    <w:p w14:paraId="2B43FE52">
      <w:pPr>
        <w:widowControl/>
        <w:spacing w:line="360" w:lineRule="auto"/>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二</w:t>
      </w:r>
      <w:r>
        <w:rPr>
          <w:rFonts w:hint="eastAsia" w:ascii="宋体" w:hAnsi="宋体" w:eastAsia="宋体" w:cs="宋体"/>
          <w:b/>
          <w:bCs/>
          <w:color w:val="auto"/>
          <w:szCs w:val="21"/>
          <w:highlight w:val="none"/>
          <w:lang w:val="zh-CN"/>
        </w:rPr>
        <w:t>、</w:t>
      </w:r>
      <w:r>
        <w:rPr>
          <w:rFonts w:hint="eastAsia" w:ascii="宋体" w:hAnsi="宋体" w:cs="宋体"/>
          <w:b/>
          <w:bCs/>
          <w:color w:val="auto"/>
          <w:szCs w:val="21"/>
          <w:highlight w:val="none"/>
          <w:lang w:eastAsia="zh-CN"/>
        </w:rPr>
        <w:t>供货期</w:t>
      </w:r>
    </w:p>
    <w:p w14:paraId="3A0108BB">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自合同签订之日起一年或采购费用总额达到成交总价时，以先到者为准，在供货期内按照采购人的要求分批供货，据实结算。（为了保障服务的延续性，服务周期采取1+1+1模式，即服务1年期满后,需求无变化，并经采购人考核合格后可续签一年，最多续签两次。）</w:t>
      </w:r>
    </w:p>
    <w:p w14:paraId="3F8418AB">
      <w:pPr>
        <w:widowControl/>
        <w:spacing w:line="360" w:lineRule="auto"/>
        <w:jc w:val="lef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三、质量要求</w:t>
      </w:r>
    </w:p>
    <w:p w14:paraId="2DC62A32">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1.供应商提供的产品其技术标准按国家标准执行，无国家标准的，按行业标准执行，无国家和行业标准的，按企业标准执行，并且符合相关法律、法规规定的要求。</w:t>
      </w:r>
    </w:p>
    <w:p w14:paraId="4BFF8626">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2.供应商提供的产品必须符合国家、省相关规定的质量标准以及采购人的相关要求。</w:t>
      </w:r>
    </w:p>
    <w:p w14:paraId="72A24F6D">
      <w:pPr>
        <w:spacing w:line="360" w:lineRule="auto"/>
        <w:rPr>
          <w:rFonts w:hint="eastAsia" w:ascii="宋体" w:hAnsi="宋体" w:eastAsia="宋体" w:cs="宋体"/>
          <w:b/>
          <w:bCs/>
          <w:color w:val="auto"/>
          <w:kern w:val="0"/>
          <w:szCs w:val="21"/>
          <w:highlight w:val="none"/>
        </w:rPr>
      </w:pPr>
      <w:r>
        <w:rPr>
          <w:rFonts w:hint="eastAsia" w:ascii="宋体" w:hAnsi="宋体" w:cs="宋体"/>
          <w:b/>
          <w:bCs/>
          <w:color w:val="auto"/>
          <w:kern w:val="0"/>
          <w:szCs w:val="21"/>
          <w:highlight w:val="none"/>
          <w:lang w:val="en-US" w:eastAsia="zh-CN"/>
        </w:rPr>
        <w:t>四</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供货及</w:t>
      </w:r>
      <w:r>
        <w:rPr>
          <w:rFonts w:hint="eastAsia" w:ascii="宋体" w:hAnsi="宋体" w:eastAsia="宋体" w:cs="宋体"/>
          <w:b/>
          <w:bCs/>
          <w:color w:val="auto"/>
          <w:kern w:val="0"/>
          <w:szCs w:val="21"/>
          <w:highlight w:val="none"/>
        </w:rPr>
        <w:t>售后服务要求</w:t>
      </w:r>
    </w:p>
    <w:p w14:paraId="2125221B">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依据商品的保修条款及售后服务条款，如有原厂质保按厂家质保执行，如没有厂家质保，按供应商承诺质保执行，文件另有约定的从其约定。质保期从货物验收合格后算起。如出现问题，接到采购人通知后一小时内给予响应并应负责包退、包换，并承担因产品质量问题导致的一切后果。</w:t>
      </w:r>
    </w:p>
    <w:p w14:paraId="0C494EB2">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2.自合同签订后一年内，按采购人实际需求分批供货，接到采购人供货通知后3天内发货，7天内完成供货。</w:t>
      </w:r>
    </w:p>
    <w:p w14:paraId="0B7C41DE">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3.产品生产日期要求近期（距离出厂日期，不得超过三个月），如发现有接近失效期的产品，供应商应三天内更换成近期产品。</w:t>
      </w:r>
    </w:p>
    <w:p w14:paraId="1F9778A0">
      <w:pPr>
        <w:spacing w:line="360" w:lineRule="auto"/>
        <w:ind w:firstLine="422" w:firstLineChars="200"/>
        <w:jc w:val="left"/>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4</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eastAsia="zh-CN"/>
        </w:rPr>
        <w:t>成交供应商</w:t>
      </w:r>
      <w:r>
        <w:rPr>
          <w:rFonts w:hint="eastAsia" w:ascii="宋体" w:hAnsi="宋体" w:eastAsia="宋体" w:cs="宋体"/>
          <w:b/>
          <w:bCs/>
          <w:color w:val="auto"/>
          <w:szCs w:val="21"/>
          <w:highlight w:val="none"/>
          <w:lang w:val="en-US" w:eastAsia="zh-CN"/>
        </w:rPr>
        <w:t>承诺成交后</w:t>
      </w:r>
      <w:r>
        <w:rPr>
          <w:rFonts w:hint="default" w:ascii="宋体" w:hAnsi="宋体" w:eastAsia="宋体" w:cs="宋体"/>
          <w:b/>
          <w:bCs/>
          <w:color w:val="auto"/>
          <w:szCs w:val="21"/>
          <w:highlight w:val="none"/>
          <w:lang w:val="en-US" w:eastAsia="zh-CN"/>
        </w:rPr>
        <w:t>配备合适的运输车辆或选择具备相应资质和能力的物流公司承担配送服务</w:t>
      </w:r>
      <w:r>
        <w:rPr>
          <w:rFonts w:hint="eastAsia" w:ascii="宋体" w:hAnsi="宋体" w:eastAsia="宋体" w:cs="宋体"/>
          <w:b/>
          <w:bCs/>
          <w:color w:val="auto"/>
          <w:szCs w:val="21"/>
          <w:highlight w:val="none"/>
          <w:lang w:val="en-US" w:eastAsia="zh-CN"/>
        </w:rPr>
        <w:t>。（响应文件中需提供承诺函并加盖供应商公章）</w:t>
      </w:r>
    </w:p>
    <w:p w14:paraId="011063AC">
      <w:pPr>
        <w:widowControl/>
        <w:spacing w:line="360" w:lineRule="auto"/>
        <w:jc w:val="left"/>
        <w:rPr>
          <w:rFonts w:hint="eastAsia" w:ascii="宋体" w:hAnsi="宋体" w:eastAsia="宋体" w:cs="宋体"/>
          <w:b/>
          <w:bCs/>
          <w:color w:val="auto"/>
          <w:szCs w:val="21"/>
          <w:highlight w:val="none"/>
          <w:lang w:val="zh-CN"/>
        </w:rPr>
      </w:pPr>
      <w:r>
        <w:rPr>
          <w:rFonts w:hint="eastAsia" w:ascii="宋体" w:hAnsi="宋体" w:cs="宋体"/>
          <w:b/>
          <w:bCs/>
          <w:color w:val="auto"/>
          <w:szCs w:val="21"/>
          <w:highlight w:val="none"/>
          <w:lang w:val="en-US" w:eastAsia="zh-CN"/>
        </w:rPr>
        <w:t>五</w:t>
      </w:r>
      <w:r>
        <w:rPr>
          <w:rFonts w:hint="eastAsia" w:ascii="宋体" w:hAnsi="宋体" w:eastAsia="宋体" w:cs="宋体"/>
          <w:b/>
          <w:bCs/>
          <w:color w:val="auto"/>
          <w:szCs w:val="21"/>
          <w:highlight w:val="none"/>
          <w:lang w:val="zh-CN"/>
        </w:rPr>
        <w:t>、报价要求</w:t>
      </w:r>
    </w:p>
    <w:p w14:paraId="0235C63A">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采购需求中列明的货物</w:t>
      </w:r>
      <w:r>
        <w:rPr>
          <w:rFonts w:hint="eastAsia" w:ascii="宋体" w:hAnsi="宋体" w:eastAsia="宋体" w:cs="宋体"/>
          <w:color w:val="auto"/>
          <w:szCs w:val="21"/>
          <w:highlight w:val="none"/>
        </w:rPr>
        <w:t>年预估使用量</w:t>
      </w:r>
      <w:r>
        <w:rPr>
          <w:rFonts w:hint="eastAsia" w:ascii="宋体" w:hAnsi="宋体" w:eastAsia="宋体" w:cs="宋体"/>
          <w:color w:val="auto"/>
          <w:szCs w:val="21"/>
          <w:highlight w:val="none"/>
          <w:lang w:val="en-US" w:eastAsia="zh-CN"/>
        </w:rPr>
        <w:t>为暂定量，本项目按实结算，供应商须按暂定量同时报所投货物分项单价及总价，总价作为定标的依据，分项单价作为据实结算的依据，分项单价不得高于单项最高限价，否则响应无效。供应商</w:t>
      </w:r>
      <w:r>
        <w:rPr>
          <w:rFonts w:hint="eastAsia" w:ascii="宋体" w:hAnsi="宋体" w:eastAsia="宋体" w:cs="宋体"/>
          <w:color w:val="auto"/>
          <w:szCs w:val="21"/>
          <w:highlight w:val="none"/>
        </w:rPr>
        <w:t>报价应包含产品费用、运费(多次分批量送货，含装卸力资）、税费、</w:t>
      </w:r>
      <w:r>
        <w:rPr>
          <w:rFonts w:hint="eastAsia" w:ascii="宋体" w:hAnsi="宋体" w:eastAsia="宋体" w:cs="宋体"/>
          <w:color w:val="auto"/>
          <w:szCs w:val="21"/>
          <w:highlight w:val="none"/>
          <w:lang w:val="zh-CN"/>
        </w:rPr>
        <w:t>检验</w:t>
      </w:r>
      <w:r>
        <w:rPr>
          <w:rFonts w:hint="eastAsia" w:ascii="宋体" w:hAnsi="宋体" w:eastAsia="宋体" w:cs="宋体"/>
          <w:color w:val="auto"/>
          <w:szCs w:val="21"/>
          <w:highlight w:val="none"/>
        </w:rPr>
        <w:t>费</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保险费、仓储费、包装费、售后服务等为完成本项目所必须的其他辅助工作的相关费用等所有费用。</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应结合采购需求及自身情况合理报价，一旦</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单价后期将不作任何调整。</w:t>
      </w:r>
    </w:p>
    <w:p w14:paraId="5A221435">
      <w:pPr>
        <w:widowControl/>
        <w:spacing w:line="360" w:lineRule="auto"/>
        <w:rPr>
          <w:rFonts w:hint="eastAsia" w:ascii="宋体" w:hAnsi="宋体" w:eastAsia="宋体" w:cs="宋体"/>
          <w:b/>
          <w:color w:val="auto"/>
          <w:szCs w:val="21"/>
          <w:highlight w:val="none"/>
        </w:rPr>
      </w:pPr>
      <w:r>
        <w:rPr>
          <w:rFonts w:hint="eastAsia" w:ascii="宋体" w:hAnsi="宋体" w:cs="宋体"/>
          <w:b/>
          <w:bCs/>
          <w:color w:val="auto"/>
          <w:szCs w:val="21"/>
          <w:highlight w:val="none"/>
          <w:lang w:val="en-US" w:eastAsia="zh-CN"/>
        </w:rPr>
        <w:t>六</w:t>
      </w:r>
      <w:r>
        <w:rPr>
          <w:rFonts w:hint="eastAsia" w:ascii="宋体" w:hAnsi="宋体" w:eastAsia="宋体" w:cs="宋体"/>
          <w:b/>
          <w:bCs/>
          <w:color w:val="auto"/>
          <w:szCs w:val="21"/>
          <w:highlight w:val="none"/>
        </w:rPr>
        <w:t>、</w:t>
      </w:r>
      <w:r>
        <w:rPr>
          <w:rFonts w:hint="eastAsia" w:ascii="宋体" w:hAnsi="宋体" w:eastAsia="宋体" w:cs="宋体"/>
          <w:b/>
          <w:color w:val="auto"/>
          <w:szCs w:val="21"/>
          <w:highlight w:val="none"/>
        </w:rPr>
        <w:t>验收</w:t>
      </w:r>
    </w:p>
    <w:p w14:paraId="0A9F32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验收时</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人和</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双方共同实施验收工作，验收合格后，结果和验收报告经双方确认后生效。</w:t>
      </w:r>
    </w:p>
    <w:p w14:paraId="71C16CF0">
      <w:pPr>
        <w:widowControl/>
        <w:spacing w:line="360" w:lineRule="auto"/>
        <w:jc w:val="left"/>
        <w:rPr>
          <w:rFonts w:hint="eastAsia" w:ascii="宋体" w:hAnsi="宋体" w:eastAsia="宋体" w:cs="宋体"/>
          <w:b/>
          <w:bCs/>
          <w:color w:val="auto"/>
          <w:szCs w:val="21"/>
          <w:highlight w:val="none"/>
          <w:lang w:val="zh-CN"/>
        </w:rPr>
      </w:pPr>
      <w:r>
        <w:rPr>
          <w:rFonts w:hint="eastAsia" w:ascii="宋体" w:hAnsi="宋体" w:cs="宋体"/>
          <w:b/>
          <w:bCs/>
          <w:color w:val="auto"/>
          <w:szCs w:val="21"/>
          <w:highlight w:val="none"/>
          <w:lang w:val="en-US" w:eastAsia="zh-CN"/>
        </w:rPr>
        <w:t>七</w:t>
      </w:r>
      <w:r>
        <w:rPr>
          <w:rFonts w:hint="eastAsia" w:ascii="宋体" w:hAnsi="宋体" w:eastAsia="宋体" w:cs="宋体"/>
          <w:b/>
          <w:bCs/>
          <w:color w:val="auto"/>
          <w:szCs w:val="21"/>
          <w:highlight w:val="none"/>
          <w:lang w:val="zh-CN"/>
        </w:rPr>
        <w:t>、付款方式</w:t>
      </w:r>
    </w:p>
    <w:p w14:paraId="5CF6502E">
      <w:pPr>
        <w:spacing w:line="360" w:lineRule="auto"/>
        <w:ind w:firstLine="420" w:firstLineChars="200"/>
        <w:rPr>
          <w:rFonts w:hint="eastAsia" w:ascii="宋体" w:hAnsi="宋体" w:eastAsia="宋体" w:cs="宋体"/>
          <w:color w:val="auto"/>
          <w:szCs w:val="21"/>
          <w:highlight w:val="yellow"/>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成交人按采购人实际需求分批供货、结算时按实际供货量据实结算，其结算价=实际供货数量*分项报价。</w:t>
      </w:r>
    </w:p>
    <w:p w14:paraId="22184E83">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2.分</w:t>
      </w:r>
      <w:r>
        <w:rPr>
          <w:rFonts w:hint="eastAsia" w:ascii="宋体" w:hAnsi="宋体" w:eastAsia="宋体" w:cs="宋体"/>
          <w:color w:val="auto"/>
          <w:szCs w:val="21"/>
          <w:highlight w:val="none"/>
        </w:rPr>
        <w:t>批次</w:t>
      </w:r>
      <w:r>
        <w:rPr>
          <w:rFonts w:hint="eastAsia" w:ascii="宋体" w:hAnsi="宋体" w:eastAsia="宋体" w:cs="宋体"/>
          <w:color w:val="auto"/>
          <w:szCs w:val="21"/>
          <w:highlight w:val="none"/>
          <w:lang w:val="en-US" w:eastAsia="zh-CN"/>
        </w:rPr>
        <w:t>供货</w:t>
      </w:r>
      <w:r>
        <w:rPr>
          <w:rFonts w:hint="eastAsia" w:ascii="宋体" w:hAnsi="宋体" w:eastAsia="宋体" w:cs="宋体"/>
          <w:color w:val="auto"/>
          <w:szCs w:val="21"/>
          <w:highlight w:val="none"/>
        </w:rPr>
        <w:t>，合同履行完毕且经采购人验收合格后</w:t>
      </w:r>
      <w:r>
        <w:rPr>
          <w:rFonts w:hint="eastAsia" w:ascii="宋体" w:hAnsi="宋体" w:eastAsia="宋体" w:cs="宋体"/>
          <w:color w:val="auto"/>
          <w:szCs w:val="21"/>
          <w:highlight w:val="none"/>
          <w:lang w:val="en-US" w:eastAsia="zh-CN"/>
        </w:rPr>
        <w:t>一次性付款。</w:t>
      </w:r>
    </w:p>
    <w:p w14:paraId="640F0DE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8063C"/>
    <w:rsid w:val="4A680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ind w:firstLine="420"/>
      <w:jc w:val="left"/>
    </w:pPr>
    <w:rPr>
      <w:rFonts w:ascii="宋体" w:hAnsi="Times New Roman"/>
      <w:kern w:val="0"/>
      <w:sz w:val="24"/>
      <w:szCs w:val="20"/>
    </w:rPr>
  </w:style>
  <w:style w:type="paragraph" w:styleId="3">
    <w:name w:val="Body Text First Indent 2"/>
    <w:basedOn w:val="4"/>
    <w:qFormat/>
    <w:uiPriority w:val="0"/>
    <w:pPr>
      <w:ind w:firstLine="420" w:firstLineChars="200"/>
    </w:pPr>
  </w:style>
  <w:style w:type="paragraph" w:styleId="4">
    <w:name w:val="Body Text Indent"/>
    <w:basedOn w:val="1"/>
    <w:next w:val="5"/>
    <w:qFormat/>
    <w:uiPriority w:val="0"/>
    <w:pPr>
      <w:spacing w:after="120"/>
      <w:ind w:left="420" w:leftChars="200"/>
    </w:pPr>
    <w:rPr>
      <w:rFonts w:ascii="Times New Roman" w:hAnsi="Times New Roman"/>
      <w:kern w:val="0"/>
      <w:szCs w:val="21"/>
    </w:rPr>
  </w:style>
  <w:style w:type="paragraph" w:styleId="5">
    <w:name w:val="envelope return"/>
    <w:basedOn w:val="1"/>
    <w:qFormat/>
    <w:uiPriority w:val="0"/>
    <w:pPr>
      <w:snapToGrid w:val="0"/>
    </w:pPr>
    <w:rPr>
      <w:rFonts w:ascii="Arial" w:hAnsi="Arial"/>
    </w:rPr>
  </w:style>
  <w:style w:type="paragraph" w:styleId="6">
    <w:name w:val="Body Text"/>
    <w:basedOn w:val="1"/>
    <w:next w:val="7"/>
    <w:qFormat/>
    <w:uiPriority w:val="0"/>
    <w:pPr>
      <w:spacing w:after="120"/>
    </w:p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next w:val="1"/>
    <w:qFormat/>
    <w:uiPriority w:val="0"/>
    <w:rPr>
      <w:rFonts w:ascii="宋体" w:hAnsi="Courier New"/>
      <w:kern w:val="0"/>
      <w:sz w:val="20"/>
      <w:szCs w:val="20"/>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2024-11-21T00:47:00Z</dcterms:created>
  <dc:creator>夷喊姓唐第</dc:creator>
  <cp:lastModifiedBy>夷喊姓唐第</cp:lastModifiedBy>
  <dcterms:modified xsi:type="dcterms:W3CDTF">2024-11-21T00:47:44Z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73BBA3B77DC24A6083541C75F64EDDDC_11</vt:lpwstr>
  </property>
</Properties>
</file>